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9D2D" w14:textId="05ED14B9" w:rsidR="00C70751" w:rsidRPr="00AE0B91" w:rsidRDefault="00C70751" w:rsidP="00C70751">
      <w:pPr>
        <w:rPr>
          <w:b/>
          <w:bCs/>
        </w:rPr>
      </w:pPr>
      <w:r>
        <w:rPr>
          <w:b/>
          <w:bCs/>
        </w:rPr>
        <w:t>I</w:t>
      </w:r>
      <w:r w:rsidRPr="00AE0B91">
        <w:rPr>
          <w:b/>
          <w:bCs/>
        </w:rPr>
        <w:t>nleiding</w:t>
      </w:r>
    </w:p>
    <w:p w14:paraId="50C878CD" w14:textId="77777777" w:rsidR="00C70751" w:rsidRDefault="00C70751" w:rsidP="00C70751">
      <w:r>
        <w:t>Op 6 september 2022 ontvingen wij van u het verzoek om advies te geven over de voorgenomen besluiten voor het toezicht op de maatschappelijke ondersteuning (WMO 2015) en de Jeugdwet. Bij uw verzoek ontvingen wij de nota van B&amp;W van 30 november 2021 en de evaluatie van 28 oktober 2021 van de Pilot  die tussen september 2020 en augustus 2021 is uitgevoerd.</w:t>
      </w:r>
    </w:p>
    <w:p w14:paraId="35CF25D1" w14:textId="77777777" w:rsidR="00C70751" w:rsidRDefault="00C70751" w:rsidP="00C70751"/>
    <w:p w14:paraId="66EA987E" w14:textId="77777777" w:rsidR="00C70751" w:rsidRDefault="00C70751" w:rsidP="00C70751">
      <w:r>
        <w:t xml:space="preserve">In mei 2020 heeft de participatieraad advies gegeven op het concept intensivering handhaving WMO en Jeugdwet. </w:t>
      </w:r>
    </w:p>
    <w:p w14:paraId="50E9043F" w14:textId="77777777" w:rsidR="00C70751" w:rsidRDefault="00C70751" w:rsidP="00C70751"/>
    <w:p w14:paraId="1654C300" w14:textId="77777777" w:rsidR="00C70751" w:rsidRPr="00264B3A" w:rsidRDefault="00C70751" w:rsidP="00C70751">
      <w:pPr>
        <w:rPr>
          <w:b/>
          <w:bCs/>
        </w:rPr>
      </w:pPr>
      <w:r w:rsidRPr="00264B3A">
        <w:rPr>
          <w:b/>
          <w:bCs/>
        </w:rPr>
        <w:t>Reactie</w:t>
      </w:r>
      <w:r>
        <w:rPr>
          <w:b/>
          <w:bCs/>
        </w:rPr>
        <w:t xml:space="preserve"> t.a.v. toezicht en handhaving</w:t>
      </w:r>
    </w:p>
    <w:p w14:paraId="4CC98FDF" w14:textId="77777777" w:rsidR="00C70751" w:rsidRDefault="00C70751" w:rsidP="00C70751">
      <w:r>
        <w:t xml:space="preserve">Het eerste wat ons opvalt is dat de evaluatienota al in oktober 2021 is opgesteld en in november is behandeld in het college en ruim een half jaar later pas aan ons voor advies is aangeboden. Dit is met name betreurenswaardig, omdat uit de nota blijkt dat na het beëindigen van de pilot ook de uitvoering van het toezicht en de handhaving is stilgelegd. Op pag. 9 van de evaluatienota onder 1 staat immers dat na </w:t>
      </w:r>
      <w:r w:rsidRPr="001E6D36">
        <w:rPr>
          <w:u w:val="single"/>
        </w:rPr>
        <w:t xml:space="preserve">afronding </w:t>
      </w:r>
      <w:r>
        <w:t xml:space="preserve">van de pilot er keuzes gemaakt moeten worden voor het inrichten van structureel beleid  en in de nota van B&amp;W wordt vermeld onder 3.2 . dat “totdat bij de integrale afweging van de voorjaarsrapportage 2022 een besluit is genomen over de middelen die voor de inzet van toezichthouders nodig zijn, </w:t>
      </w:r>
      <w:r w:rsidRPr="00D96D18">
        <w:rPr>
          <w:u w:val="single"/>
        </w:rPr>
        <w:t>tijdelijk geen toezichthouders</w:t>
      </w:r>
      <w:r>
        <w:t xml:space="preserve"> worden ingezet”.</w:t>
      </w:r>
    </w:p>
    <w:p w14:paraId="6BA132AE" w14:textId="7340C19D" w:rsidR="00C70751" w:rsidRDefault="00C70751" w:rsidP="00C70751">
      <w:r>
        <w:lastRenderedPageBreak/>
        <w:t xml:space="preserve">Volgens de WMO  en de Jeugdwet heeft de Gemeente de plicht om personen aan te wijzen die belast zijn met het houden van toezicht op de naleving van het bepaalde bij of krachtens deze wet. </w:t>
      </w:r>
      <w:r>
        <w:rPr>
          <w:rStyle w:val="Voetnootmarkering"/>
        </w:rPr>
        <w:footnoteReference w:id="1"/>
      </w:r>
      <w:r>
        <w:t xml:space="preserve"> Voor de WMO geldt dat al vanaf 2015. </w:t>
      </w:r>
    </w:p>
    <w:p w14:paraId="222220CB" w14:textId="77777777" w:rsidR="00C70751" w:rsidRDefault="00C70751" w:rsidP="00C70751">
      <w:r>
        <w:t xml:space="preserve">Daarnaast heeft de gemeente in de wettelijk verplichte verordening sociaal domein in 2020 vastgelegd dat het college personen aanwijst die belast zijn met het houden van toezicht op de naleving. Die verordening is toch niet alleen geldig voor een pilot? </w:t>
      </w:r>
    </w:p>
    <w:p w14:paraId="1250CEA9" w14:textId="77777777" w:rsidR="00C70751" w:rsidRDefault="00C70751" w:rsidP="00C70751"/>
    <w:p w14:paraId="4114E4BD" w14:textId="16509E05" w:rsidR="00C70751" w:rsidRDefault="00C70751" w:rsidP="00C70751">
      <w:r>
        <w:t xml:space="preserve">We begrijpen dat door de verkiezingen en de daarop volgende coalitie onderhandelingen zaken zijn blijven liggen, maar in november 2021 waren er nog geen verkiezingen en had dus direct actie moeten worden ondernomen om, desnoods tijdelijk, mensen aan te wijzen voor deze taak.   </w:t>
      </w:r>
    </w:p>
    <w:p w14:paraId="5997FB1A" w14:textId="77777777" w:rsidR="00C70751" w:rsidRDefault="00C70751" w:rsidP="00C70751"/>
    <w:p w14:paraId="3689097C" w14:textId="2DCAF491" w:rsidR="00C70751" w:rsidRDefault="00C70751" w:rsidP="00C70751">
      <w:r>
        <w:t xml:space="preserve">Uit de toezichtnota blijkt dat nu diverse zaken in gang worden gezet om het toezicht en de handhaving op de WMO en de Jeugdwet structureel in te bedden in het gemeentelijk beleid en de uitvoering hiervan. De voorgenomen stappen onderschrijven wij graag, wel zien we graag een tijdpad waardoor het duidelijk is wanneer e.e.a. gerealiseerd zal zijn. Er komen volgens de nota handboeken,  productdefinities, scenario’s voor handhaving etc. </w:t>
      </w:r>
    </w:p>
    <w:p w14:paraId="423DA93F" w14:textId="77777777" w:rsidR="00C70751" w:rsidRDefault="00C70751" w:rsidP="00C70751"/>
    <w:p w14:paraId="5292AF80" w14:textId="77777777" w:rsidR="00C70751" w:rsidRDefault="00C70751" w:rsidP="00C70751">
      <w:r>
        <w:t xml:space="preserve">Wij adviseren u om al tijdens de opstelling van dit structurele beleid, het toezicht en de handhaving met urgentie op te pakken en met spoed de preventie maatregelen vast te stellen en in te voeren. </w:t>
      </w:r>
    </w:p>
    <w:p w14:paraId="6063A4A1" w14:textId="77777777" w:rsidR="00C70751" w:rsidRDefault="00C70751" w:rsidP="00C70751">
      <w:pPr>
        <w:rPr>
          <w:b/>
          <w:bCs/>
        </w:rPr>
      </w:pPr>
    </w:p>
    <w:p w14:paraId="69AF9A3D" w14:textId="77777777" w:rsidR="00C70751" w:rsidRPr="00C70751" w:rsidRDefault="00C70751" w:rsidP="00C70751">
      <w:r w:rsidRPr="00C70751">
        <w:rPr>
          <w:b/>
          <w:bCs/>
        </w:rPr>
        <w:t xml:space="preserve">Toezicht </w:t>
      </w:r>
    </w:p>
    <w:p w14:paraId="10BD09A1" w14:textId="77777777" w:rsidR="00C70751" w:rsidRPr="00C70751" w:rsidRDefault="00C70751" w:rsidP="00C70751">
      <w:r w:rsidRPr="00C70751">
        <w:rPr>
          <w:u w:val="single"/>
        </w:rPr>
        <w:t xml:space="preserve">Toezicht en de daaruit voortvloeiende Handhaving </w:t>
      </w:r>
      <w:r w:rsidRPr="00C70751">
        <w:t xml:space="preserve">kent twee onderdelen </w:t>
      </w:r>
      <w:r w:rsidRPr="00C70751">
        <w:rPr>
          <w:rStyle w:val="Voetnootmarkering"/>
        </w:rPr>
        <w:footnoteReference w:id="2"/>
      </w:r>
      <w:r w:rsidRPr="00C70751">
        <w:t xml:space="preserve">:  </w:t>
      </w:r>
    </w:p>
    <w:p w14:paraId="3F271571" w14:textId="77777777" w:rsidR="00C70751" w:rsidRPr="00C70751" w:rsidRDefault="00C70751" w:rsidP="00C70751">
      <w:pPr>
        <w:pStyle w:val="Lijstalinea"/>
        <w:numPr>
          <w:ilvl w:val="0"/>
          <w:numId w:val="28"/>
        </w:numPr>
        <w:spacing w:after="0"/>
        <w:rPr>
          <w:sz w:val="20"/>
          <w:szCs w:val="20"/>
        </w:rPr>
      </w:pPr>
      <w:r w:rsidRPr="00C70751">
        <w:rPr>
          <w:sz w:val="20"/>
          <w:szCs w:val="20"/>
        </w:rPr>
        <w:t>Toezicht op naleving van de kwaliteitseisen uit wet- en (gemeentelijke) regelgeving en</w:t>
      </w:r>
    </w:p>
    <w:p w14:paraId="596E737B" w14:textId="77777777" w:rsidR="00C70751" w:rsidRDefault="00C70751" w:rsidP="00C70751">
      <w:pPr>
        <w:pStyle w:val="Lijstalinea"/>
        <w:numPr>
          <w:ilvl w:val="0"/>
          <w:numId w:val="28"/>
        </w:numPr>
        <w:spacing w:after="0"/>
      </w:pPr>
      <w:r w:rsidRPr="00C70751">
        <w:rPr>
          <w:sz w:val="20"/>
          <w:szCs w:val="20"/>
        </w:rPr>
        <w:t>Toezicht op rechtmatigheden en fraudebestrijding</w:t>
      </w:r>
      <w:r>
        <w:t>.</w:t>
      </w:r>
    </w:p>
    <w:p w14:paraId="7D5110F1" w14:textId="77777777" w:rsidR="00C70751" w:rsidRDefault="00C70751" w:rsidP="00C70751"/>
    <w:p w14:paraId="2A03F6E5" w14:textId="77777777" w:rsidR="00C70751" w:rsidRDefault="00C70751" w:rsidP="00C70751">
      <w:r>
        <w:t xml:space="preserve">In de toezichtnota en het voorgestelde traject voor toezicht en handhaving komt het toezicht op de kwaliteit nauwelijks aan de orde. In de samenvatting is een eenzijdige benadering van toezicht opgenomen. Vooral op onrechtmatig gebruik wordt ingezoomd. </w:t>
      </w:r>
    </w:p>
    <w:p w14:paraId="75238714" w14:textId="77777777" w:rsidR="00C70751" w:rsidRDefault="00C70751" w:rsidP="00C70751">
      <w:r>
        <w:t>In het meegestuurde aanwijzingsbesluit van de gemeente staat ook alleen het toezicht op rechtmatigheid van beide wetten vermeld. Is er ook een aanwijzingsbesluit dat voorziet in het toezicht op de kwaliteit van de inzet en uitvoering van beide wetten?  </w:t>
      </w:r>
    </w:p>
    <w:p w14:paraId="6F020CF0" w14:textId="77777777" w:rsidR="00C70751" w:rsidRDefault="00C70751" w:rsidP="00C70751">
      <w:r>
        <w:t xml:space="preserve">De gemeente is niet alleen verantwoordelijk voor het (organiseren van) toezicht op de rechtmatigheid van de wetten maar ook op het kwaliteitstoezicht, inclusief </w:t>
      </w:r>
      <w:r>
        <w:lastRenderedPageBreak/>
        <w:t>calamiteitentoezicht.  De Participatieraad denkt dat de basis voor de inrichting van toezicht en handhaving kan worden gelegd in de Verordening Sociaal Domein 2023 (zie ook het advies van de Participatieraad over dit onderwerp). Juist het stellen van eisen aan de kwaliteit van het aanbod van voorzieningen (bijvoorbeeld rond het aanbestedingstraject) kan voorkomen dat misbruik plaatsvindt of malafide aanbieders worden gecontracteerd.</w:t>
      </w:r>
    </w:p>
    <w:p w14:paraId="3CB74B00" w14:textId="77777777" w:rsidR="00C70751" w:rsidRDefault="00C70751" w:rsidP="00C70751"/>
    <w:p w14:paraId="5EC5038F" w14:textId="77777777" w:rsidR="00C70751" w:rsidRDefault="00C70751" w:rsidP="00C70751">
      <w:r>
        <w:t>De VNG schreef in december 2020  een handreiking voor de handhaving, waarin beide kanten worden belicht.</w:t>
      </w:r>
      <w:r>
        <w:rPr>
          <w:rStyle w:val="Voetnootmarkering"/>
        </w:rPr>
        <w:footnoteReference w:id="3"/>
      </w:r>
      <w:r>
        <w:t xml:space="preserve"> Aan de hand van die handreiking kan het opstellen van een handboek ons inziens snel worden gerealiseerd. </w:t>
      </w:r>
    </w:p>
    <w:p w14:paraId="47266681" w14:textId="77777777" w:rsidR="00C70751" w:rsidRDefault="00C70751" w:rsidP="00C70751">
      <w:r w:rsidRPr="002133F4">
        <w:rPr>
          <w:u w:val="single"/>
        </w:rPr>
        <w:t>TIP:</w:t>
      </w:r>
      <w:r>
        <w:t xml:space="preserve"> De gemeente Ede heeft een zeer overzichtelijk en volledig beleidsnotitie m.b.t. toezicht en handhaving WMO 2015.</w:t>
      </w:r>
    </w:p>
    <w:p w14:paraId="27374FBC" w14:textId="77777777" w:rsidR="00C70751" w:rsidRDefault="00C70751" w:rsidP="00C70751">
      <w:r>
        <w:t>Ook via Sociaal Domein (ondergebracht bij VWS) is veel informatie voor handen om niet opnieuw het wiel uit te vinden (</w:t>
      </w:r>
      <w:hyperlink r:id="rId7" w:history="1">
        <w:r w:rsidRPr="0085328E">
          <w:rPr>
            <w:rStyle w:val="Hyperlink"/>
          </w:rPr>
          <w:t>www.toezichtsociaaldomein.nl</w:t>
        </w:r>
      </w:hyperlink>
      <w:r>
        <w:t>).</w:t>
      </w:r>
    </w:p>
    <w:p w14:paraId="0FFAB638" w14:textId="77777777" w:rsidR="00C70751" w:rsidRDefault="00C70751" w:rsidP="00C70751"/>
    <w:p w14:paraId="202D2A6F" w14:textId="77777777" w:rsidR="00C70751" w:rsidRPr="009E7D91" w:rsidRDefault="00C70751" w:rsidP="00C70751">
      <w:pPr>
        <w:rPr>
          <w:b/>
          <w:bCs/>
        </w:rPr>
      </w:pPr>
      <w:r w:rsidRPr="009E7D91">
        <w:rPr>
          <w:b/>
          <w:bCs/>
        </w:rPr>
        <w:t>Onafhankelijke toezichthouders</w:t>
      </w:r>
    </w:p>
    <w:p w14:paraId="7FC19E9D" w14:textId="0A1814BA" w:rsidR="00C70751" w:rsidRDefault="00C70751" w:rsidP="00C70751">
      <w:r>
        <w:t>Het Ministerie van VWS heeft Significant opdracht gegeven om toekomstscenario’s voor verbetering van het toezicht op de WMO door gemeentes in kaart te brengen. Op pagina 20 van dit rapport</w:t>
      </w:r>
      <w:r>
        <w:rPr>
          <w:rStyle w:val="Voetnootmarkering"/>
        </w:rPr>
        <w:footnoteReference w:id="4"/>
      </w:r>
      <w:r>
        <w:t xml:space="preserve"> </w:t>
      </w:r>
      <w:r>
        <w:t>staat een interessante beschouwing over de knelpunten rond ‘onafhankelijkheid’ van toezichthouders, die in dienst van een gemeente zijn. Wij brengen deze passage graag onder uw aandacht.</w:t>
      </w:r>
    </w:p>
    <w:p w14:paraId="41EEF960" w14:textId="77777777" w:rsidR="00C70751" w:rsidRDefault="00C70751" w:rsidP="00C70751"/>
    <w:p w14:paraId="07E1B9F6" w14:textId="77777777" w:rsidR="00C70751" w:rsidRDefault="00C70751" w:rsidP="00C70751">
      <w:r>
        <w:t>Wij voegen de Handreiking en het Toekomstscenario als bijlage bij ons advies.</w:t>
      </w:r>
    </w:p>
    <w:p w14:paraId="79A7BCEC" w14:textId="77777777" w:rsidR="00C70751" w:rsidRDefault="00C70751" w:rsidP="00C70751"/>
    <w:p w14:paraId="3307B088" w14:textId="77777777" w:rsidR="00C70751" w:rsidRPr="00FC5DB6" w:rsidRDefault="00C70751" w:rsidP="00C70751">
      <w:pPr>
        <w:rPr>
          <w:b/>
          <w:bCs/>
        </w:rPr>
      </w:pPr>
      <w:r w:rsidRPr="00FC5DB6">
        <w:rPr>
          <w:b/>
          <w:bCs/>
        </w:rPr>
        <w:t>Communicatie</w:t>
      </w:r>
    </w:p>
    <w:p w14:paraId="490C228E" w14:textId="77777777" w:rsidR="00C70751" w:rsidRPr="00FC5DB6" w:rsidRDefault="00C70751" w:rsidP="00C70751">
      <w:r w:rsidRPr="00FC5DB6">
        <w:t xml:space="preserve">In de B&amp;W nota </w:t>
      </w:r>
      <w:r>
        <w:t xml:space="preserve">over het toezicht op de WMO en Jeugdwet </w:t>
      </w:r>
      <w:r w:rsidRPr="00FC5DB6">
        <w:t xml:space="preserve">staat dat de communicatie nog </w:t>
      </w:r>
      <w:r>
        <w:t xml:space="preserve">wordt </w:t>
      </w:r>
      <w:r w:rsidRPr="00FC5DB6">
        <w:t>uitgewerkt</w:t>
      </w:r>
      <w:r>
        <w:t>.</w:t>
      </w:r>
      <w:r w:rsidRPr="00FC5DB6">
        <w:t xml:space="preserve"> </w:t>
      </w:r>
      <w:r>
        <w:t xml:space="preserve">De nota geeft aan dat er een informatieplan wordt opgesteld en bij het implementatieplan de adviezen van de participatieraad uit 2020 worden meegenomen als input. Wij zien dat een deel is gebruikt bij de pilot. Toch blijkt bij diverse onderwerpen dat burgers nog niet </w:t>
      </w:r>
      <w:r w:rsidRPr="00454EBA">
        <w:t xml:space="preserve">optimaal zijn geïnformeerd over de mogelijkheden voor ondersteuning vanuit de gemeente. Geef bij de communicatie dan ook veel aandacht aan het bekendmaken van mogelijkheden, maar ook van grenzen/ eisen voor die mogelijkheden. Gebruik  verschillende </w:t>
      </w:r>
      <w:r>
        <w:t>toepassings</w:t>
      </w:r>
      <w:r w:rsidRPr="00454EBA">
        <w:t xml:space="preserve">vormen </w:t>
      </w:r>
      <w:r>
        <w:t xml:space="preserve">van communicatie </w:t>
      </w:r>
      <w:r w:rsidRPr="00454EBA">
        <w:t>en neem het op als standaard onderdeel van werkprocessen. Een duidelijke, heldere, eenduidige en terugkerende voorlichting aan klanten en aanbieders voorkomt onbedoelde onrechtmatigheid en onrechtmatig handelen.</w:t>
      </w:r>
      <w:r w:rsidRPr="00454EBA">
        <w:rPr>
          <w:b/>
          <w:bCs/>
          <w:i/>
          <w:iCs/>
          <w:u w:val="single"/>
        </w:rPr>
        <w:br/>
      </w:r>
    </w:p>
    <w:p w14:paraId="1D63C361" w14:textId="77777777" w:rsidR="00C70751" w:rsidRDefault="00C70751">
      <w:r>
        <w:br w:type="page"/>
      </w:r>
    </w:p>
    <w:p w14:paraId="7196708F" w14:textId="58DFD10D" w:rsidR="00C70751" w:rsidRPr="00AC042E" w:rsidRDefault="00C70751" w:rsidP="00C70751">
      <w:r w:rsidRPr="00AC042E">
        <w:lastRenderedPageBreak/>
        <w:t>Samengevat:</w:t>
      </w:r>
    </w:p>
    <w:p w14:paraId="33690906" w14:textId="77777777" w:rsidR="00C70751" w:rsidRPr="00AC042E" w:rsidRDefault="00C70751" w:rsidP="00C70751"/>
    <w:p w14:paraId="5F8BF462" w14:textId="4EDFD54A" w:rsidR="00C70751" w:rsidRPr="00C70751" w:rsidRDefault="00C70751" w:rsidP="00C70751">
      <w:pPr>
        <w:pStyle w:val="Lijstalinea"/>
        <w:numPr>
          <w:ilvl w:val="0"/>
          <w:numId w:val="29"/>
        </w:numPr>
        <w:spacing w:after="0"/>
        <w:rPr>
          <w:sz w:val="20"/>
          <w:szCs w:val="20"/>
        </w:rPr>
      </w:pPr>
      <w:r w:rsidRPr="00C70751">
        <w:rPr>
          <w:sz w:val="20"/>
          <w:szCs w:val="20"/>
        </w:rPr>
        <w:t>Wij adviseren u om met grote urgentie mensen aan te wijzen als toezichthouder met voldoende expertise en tijd en hiermee niet te wachten tot alle, volgens de nota benodigde stukken, helemaal zijn uitgewerkt. Deze medewerkers</w:t>
      </w:r>
      <w:r>
        <w:rPr>
          <w:sz w:val="20"/>
          <w:szCs w:val="20"/>
        </w:rPr>
        <w:t xml:space="preserve"> zouden</w:t>
      </w:r>
      <w:r w:rsidRPr="00C70751">
        <w:rPr>
          <w:sz w:val="20"/>
          <w:szCs w:val="20"/>
        </w:rPr>
        <w:t xml:space="preserve"> als gelijkwaardige counterpart voor opdrachtnemers moeten kunnen fungeren;</w:t>
      </w:r>
    </w:p>
    <w:p w14:paraId="172B3F34" w14:textId="77777777" w:rsidR="00C70751" w:rsidRPr="00C70751" w:rsidRDefault="00C70751" w:rsidP="00C70751">
      <w:pPr>
        <w:ind w:left="360"/>
      </w:pPr>
      <w:r w:rsidRPr="00C70751">
        <w:t xml:space="preserve"> </w:t>
      </w:r>
    </w:p>
    <w:p w14:paraId="71245B12" w14:textId="77777777" w:rsidR="00C70751" w:rsidRPr="00C70751" w:rsidRDefault="00C70751" w:rsidP="00C70751">
      <w:pPr>
        <w:pStyle w:val="Lijstalinea"/>
        <w:numPr>
          <w:ilvl w:val="0"/>
          <w:numId w:val="29"/>
        </w:numPr>
        <w:spacing w:after="0"/>
        <w:rPr>
          <w:sz w:val="20"/>
          <w:szCs w:val="20"/>
        </w:rPr>
      </w:pPr>
      <w:r w:rsidRPr="00C70751">
        <w:rPr>
          <w:sz w:val="20"/>
          <w:szCs w:val="20"/>
        </w:rPr>
        <w:t xml:space="preserve">Maak een tijdpad voor de opstelling van de benodigde stukken voor implementatie van  het structurele beleid en de inbedding hiervan; </w:t>
      </w:r>
    </w:p>
    <w:p w14:paraId="1AC6AFB0" w14:textId="77777777" w:rsidR="00C70751" w:rsidRPr="00C70751" w:rsidRDefault="00C70751" w:rsidP="00C70751">
      <w:pPr>
        <w:pStyle w:val="Lijstalinea"/>
        <w:rPr>
          <w:sz w:val="20"/>
          <w:szCs w:val="20"/>
        </w:rPr>
      </w:pPr>
    </w:p>
    <w:p w14:paraId="534EA703" w14:textId="7C064B33" w:rsidR="00C70751" w:rsidRPr="00C70751" w:rsidRDefault="00C70751" w:rsidP="00C70751">
      <w:pPr>
        <w:pStyle w:val="Lijstalinea"/>
        <w:numPr>
          <w:ilvl w:val="0"/>
          <w:numId w:val="29"/>
        </w:numPr>
        <w:spacing w:after="0"/>
        <w:rPr>
          <w:sz w:val="20"/>
          <w:szCs w:val="20"/>
        </w:rPr>
      </w:pPr>
      <w:r w:rsidRPr="00C70751">
        <w:rPr>
          <w:sz w:val="20"/>
          <w:szCs w:val="20"/>
        </w:rPr>
        <w:t>Toezicht en Handhaving is niet alleen “repressief zorgen dat er geen fraude wordt gepleegd”, maar ook de ”kwaliteit van de zorg aan kwetsbare gebruikers waarborgen”.  Wij adviseren u om de ontwikkeling van kwaliteitsbeleid expliciet te benoemen, uit te werken aan de hand van toetsbare criteria en deze in te bedden in de uitvoering. Daarbij zou expliciet aandacht moeten worden gegeven aan de controle op de geleverde prestaties en de afrekening. Leg de basis voor dit beleid vast in de Verordening Sociaal Domein 2023</w:t>
      </w:r>
    </w:p>
    <w:p w14:paraId="0B6A0126" w14:textId="77777777" w:rsidR="00C70751" w:rsidRPr="00C70751" w:rsidRDefault="00C70751" w:rsidP="00C70751"/>
    <w:p w14:paraId="7CBAC739" w14:textId="77777777" w:rsidR="00C70751" w:rsidRPr="00C70751" w:rsidRDefault="00C70751" w:rsidP="00C70751">
      <w:pPr>
        <w:pStyle w:val="Lijstalinea"/>
        <w:numPr>
          <w:ilvl w:val="0"/>
          <w:numId w:val="29"/>
        </w:numPr>
        <w:spacing w:after="0"/>
        <w:rPr>
          <w:sz w:val="20"/>
          <w:szCs w:val="20"/>
        </w:rPr>
      </w:pPr>
      <w:r w:rsidRPr="00C70751">
        <w:rPr>
          <w:sz w:val="20"/>
          <w:szCs w:val="20"/>
        </w:rPr>
        <w:t>Maak gebruik van de kennis en uitwerkingen van andere gemeenten, de VNG en VWS om snel tot een goed handboek en structureel beleid rond toezicht en handhaving te komen. Besteed daarbij ook aandacht aan de onafhankelijkheid van toezichthouders als zij in dienst treden van de gemeente.</w:t>
      </w:r>
    </w:p>
    <w:p w14:paraId="2479CD4B" w14:textId="77777777" w:rsidR="00C70751" w:rsidRPr="00C70751" w:rsidRDefault="00C70751" w:rsidP="00C70751">
      <w:pPr>
        <w:pStyle w:val="Lijstalinea"/>
        <w:rPr>
          <w:sz w:val="20"/>
          <w:szCs w:val="20"/>
        </w:rPr>
      </w:pPr>
    </w:p>
    <w:p w14:paraId="6FC58C30" w14:textId="77777777" w:rsidR="00C70751" w:rsidRPr="00C70751" w:rsidRDefault="00C70751" w:rsidP="00C70751">
      <w:pPr>
        <w:pStyle w:val="Lijstalinea"/>
        <w:numPr>
          <w:ilvl w:val="0"/>
          <w:numId w:val="29"/>
        </w:numPr>
        <w:spacing w:after="0"/>
        <w:rPr>
          <w:sz w:val="20"/>
          <w:szCs w:val="20"/>
        </w:rPr>
      </w:pPr>
      <w:r w:rsidRPr="00C70751">
        <w:rPr>
          <w:sz w:val="20"/>
          <w:szCs w:val="20"/>
        </w:rPr>
        <w:t>Zorg voor duidelijke regelgeving en communiceer daarover op alle mogelijke manieren, zodat mensen weten waar ze wel en niet voor bij de gemeente kunnen aankloppen. Vermeld daarbij op welke wijze toezicht wordt gehouden en wordt gehandhaafd.</w:t>
      </w:r>
    </w:p>
    <w:p w14:paraId="089FF465" w14:textId="77777777" w:rsidR="00C70751" w:rsidRDefault="00C70751" w:rsidP="00C70751">
      <w:pPr>
        <w:pStyle w:val="Lijstalinea"/>
      </w:pPr>
    </w:p>
    <w:p w14:paraId="7B6F69FB" w14:textId="77777777" w:rsidR="00C70751" w:rsidRPr="00AC042E" w:rsidRDefault="00C70751" w:rsidP="00C70751"/>
    <w:p w14:paraId="7C41B139" w14:textId="77777777" w:rsidR="00C70751" w:rsidRDefault="00C70751" w:rsidP="00C70751">
      <w:r>
        <w:t>Bijlagen:</w:t>
      </w:r>
    </w:p>
    <w:p w14:paraId="7F38DF66" w14:textId="77777777" w:rsidR="00C70751" w:rsidRDefault="00C70751" w:rsidP="00C70751">
      <w:pPr>
        <w:pStyle w:val="Voetnoottekst"/>
      </w:pPr>
      <w:r>
        <w:t>1. Handreiking WMO-toezicht, VNG december 2020</w:t>
      </w:r>
    </w:p>
    <w:p w14:paraId="43DF4A75" w14:textId="77777777" w:rsidR="00C70751" w:rsidRDefault="00C70751" w:rsidP="00C70751">
      <w:pPr>
        <w:pStyle w:val="Voetnoottekst"/>
      </w:pPr>
      <w:r>
        <w:t>2. Toekomstscenario’s toezicht WMO, Significant, 2021</w:t>
      </w:r>
    </w:p>
    <w:p w14:paraId="683854D3" w14:textId="045B1487" w:rsidR="00C70751" w:rsidRDefault="00C70751" w:rsidP="00C70751">
      <w:pPr>
        <w:pStyle w:val="Voetnoottekst"/>
      </w:pPr>
      <w:r>
        <w:t>3.</w:t>
      </w:r>
      <w:r w:rsidR="00E15013">
        <w:t xml:space="preserve"> </w:t>
      </w:r>
      <w:r>
        <w:t xml:space="preserve">Link nota gemeente Ede </w:t>
      </w:r>
      <w:hyperlink r:id="rId8" w:history="1">
        <w:r>
          <w:rPr>
            <w:rStyle w:val="Hyperlink"/>
            <w:rFonts w:eastAsia="Times New Roman"/>
          </w:rPr>
          <w:t>https://lokaleregelgeving.overheid.nl/CVDR620988</w:t>
        </w:r>
      </w:hyperlink>
    </w:p>
    <w:p w14:paraId="0D277AD2" w14:textId="77777777" w:rsidR="00CD631F" w:rsidRPr="00A64E32" w:rsidRDefault="00CD631F" w:rsidP="00CD631F">
      <w:pPr>
        <w:spacing w:line="240" w:lineRule="auto"/>
        <w:rPr>
          <w:rFonts w:eastAsia="Calibri" w:cs="Calibri"/>
        </w:rPr>
      </w:pPr>
    </w:p>
    <w:p w14:paraId="3E9F89AE" w14:textId="77777777" w:rsidR="00CD631F" w:rsidRPr="00A64E32" w:rsidRDefault="00CD631F" w:rsidP="00CD631F">
      <w:pPr>
        <w:spacing w:line="240" w:lineRule="auto"/>
        <w:rPr>
          <w:rFonts w:eastAsia="Calibri" w:cs="Calibri"/>
        </w:rPr>
      </w:pPr>
      <w:r w:rsidRPr="00A64E32">
        <w:rPr>
          <w:rFonts w:eastAsia="Calibri" w:cs="Calibri"/>
        </w:rPr>
        <w:t>Wij vertrouwen erop u met ons advies van dienst te zijn en vernemen graag uw reactie.</w:t>
      </w:r>
    </w:p>
    <w:p w14:paraId="0971A551" w14:textId="77777777" w:rsidR="00CD631F" w:rsidRDefault="00CD631F" w:rsidP="00CD631F"/>
    <w:p w14:paraId="0F6BDCD8" w14:textId="14654285" w:rsidR="00876118" w:rsidRPr="00891A3C" w:rsidRDefault="00992587" w:rsidP="00876118">
      <w:pPr>
        <w:rPr>
          <w:rFonts w:asciiTheme="minorHAnsi" w:eastAsia="Arial" w:hAnsiTheme="minorHAnsi" w:cs="Arial"/>
          <w:color w:val="000000"/>
        </w:rPr>
      </w:pPr>
      <w:r>
        <w:rPr>
          <w:rFonts w:asciiTheme="minorHAnsi" w:eastAsia="Arial" w:hAnsiTheme="minorHAnsi" w:cs="Arial"/>
          <w:color w:val="000000"/>
        </w:rPr>
        <w:t>Me</w:t>
      </w:r>
      <w:r w:rsidR="00876118" w:rsidRPr="00891A3C">
        <w:rPr>
          <w:rFonts w:asciiTheme="minorHAnsi" w:eastAsia="Arial" w:hAnsiTheme="minorHAnsi" w:cs="Arial"/>
          <w:color w:val="000000"/>
        </w:rPr>
        <w:t>t vriendelijke groeten,</w:t>
      </w:r>
    </w:p>
    <w:p w14:paraId="380413F9" w14:textId="77777777" w:rsidR="00876118" w:rsidRPr="00891A3C" w:rsidRDefault="00876118" w:rsidP="00876118">
      <w:pPr>
        <w:pBdr>
          <w:top w:val="nil"/>
          <w:left w:val="nil"/>
          <w:bottom w:val="nil"/>
          <w:right w:val="nil"/>
          <w:between w:val="nil"/>
        </w:pBdr>
        <w:ind w:left="142"/>
        <w:rPr>
          <w:rFonts w:asciiTheme="minorHAnsi" w:eastAsia="Arial" w:hAnsiTheme="minorHAnsi" w:cs="Arial"/>
          <w:color w:val="000000"/>
        </w:rPr>
      </w:pPr>
      <w:r w:rsidRPr="00891A3C">
        <w:rPr>
          <w:rFonts w:asciiTheme="minorHAnsi" w:hAnsiTheme="minorHAnsi" w:cs="Arial"/>
          <w:noProof/>
        </w:rPr>
        <w:drawing>
          <wp:anchor distT="0" distB="0" distL="114300" distR="114300" simplePos="0" relativeHeight="251659264" behindDoc="1" locked="0" layoutInCell="1" allowOverlap="1" wp14:anchorId="0A6FDEF3" wp14:editId="540C7876">
            <wp:simplePos x="0" y="0"/>
            <wp:positionH relativeFrom="margin">
              <wp:align>left</wp:align>
            </wp:positionH>
            <wp:positionV relativeFrom="paragraph">
              <wp:posOffset>8255</wp:posOffset>
            </wp:positionV>
            <wp:extent cx="2885440" cy="8191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440" cy="819150"/>
                    </a:xfrm>
                    <a:prstGeom prst="rect">
                      <a:avLst/>
                    </a:prstGeom>
                    <a:noFill/>
                    <a:ln>
                      <a:noFill/>
                    </a:ln>
                  </pic:spPr>
                </pic:pic>
              </a:graphicData>
            </a:graphic>
            <wp14:sizeRelV relativeFrom="margin">
              <wp14:pctHeight>0</wp14:pctHeight>
            </wp14:sizeRelV>
          </wp:anchor>
        </w:drawing>
      </w:r>
    </w:p>
    <w:p w14:paraId="0F7F1891" w14:textId="77777777" w:rsidR="00876118" w:rsidRPr="00891A3C" w:rsidRDefault="00876118" w:rsidP="00876118">
      <w:pPr>
        <w:pBdr>
          <w:top w:val="nil"/>
          <w:left w:val="nil"/>
          <w:bottom w:val="nil"/>
          <w:right w:val="nil"/>
          <w:between w:val="nil"/>
        </w:pBdr>
        <w:ind w:left="142"/>
        <w:rPr>
          <w:rFonts w:asciiTheme="minorHAnsi" w:eastAsia="Arial" w:hAnsiTheme="minorHAnsi" w:cs="Arial"/>
          <w:color w:val="000000"/>
        </w:rPr>
      </w:pPr>
    </w:p>
    <w:p w14:paraId="368F9FE9" w14:textId="77777777" w:rsidR="006907DB" w:rsidRPr="00891A3C" w:rsidRDefault="006907DB" w:rsidP="001006E2">
      <w:pPr>
        <w:pBdr>
          <w:top w:val="nil"/>
          <w:left w:val="nil"/>
          <w:bottom w:val="nil"/>
          <w:right w:val="nil"/>
          <w:between w:val="nil"/>
        </w:pBdr>
        <w:rPr>
          <w:rFonts w:asciiTheme="minorHAnsi" w:eastAsia="Arial" w:hAnsiTheme="minorHAnsi" w:cs="Arial"/>
          <w:color w:val="000000"/>
        </w:rPr>
      </w:pPr>
    </w:p>
    <w:p w14:paraId="12DAF02B" w14:textId="77777777" w:rsidR="006907DB" w:rsidRPr="00891A3C" w:rsidRDefault="006907DB" w:rsidP="001006E2">
      <w:pPr>
        <w:pBdr>
          <w:top w:val="nil"/>
          <w:left w:val="nil"/>
          <w:bottom w:val="nil"/>
          <w:right w:val="nil"/>
          <w:between w:val="nil"/>
        </w:pBdr>
        <w:rPr>
          <w:rFonts w:asciiTheme="minorHAnsi" w:eastAsia="Arial" w:hAnsiTheme="minorHAnsi" w:cs="Arial"/>
          <w:color w:val="000000"/>
        </w:rPr>
      </w:pPr>
    </w:p>
    <w:p w14:paraId="5F1112D6" w14:textId="3EF68862" w:rsidR="006907DB" w:rsidRPr="00891A3C" w:rsidRDefault="00876118" w:rsidP="001006E2">
      <w:pPr>
        <w:pBdr>
          <w:top w:val="nil"/>
          <w:left w:val="nil"/>
          <w:bottom w:val="nil"/>
          <w:right w:val="nil"/>
          <w:between w:val="nil"/>
        </w:pBdr>
        <w:rPr>
          <w:rFonts w:asciiTheme="minorHAnsi" w:eastAsia="Arial" w:hAnsiTheme="minorHAnsi" w:cs="Arial"/>
          <w:color w:val="000000"/>
        </w:rPr>
      </w:pPr>
      <w:r w:rsidRPr="00891A3C">
        <w:rPr>
          <w:rFonts w:asciiTheme="minorHAnsi" w:eastAsia="Arial" w:hAnsiTheme="minorHAnsi" w:cs="Arial"/>
          <w:color w:val="000000"/>
        </w:rPr>
        <w:t>G. Hille</w:t>
      </w:r>
      <w:r w:rsidR="000C055E" w:rsidRPr="00891A3C">
        <w:rPr>
          <w:rFonts w:asciiTheme="minorHAnsi" w:eastAsia="Arial" w:hAnsiTheme="minorHAnsi" w:cs="Arial"/>
          <w:color w:val="000000"/>
        </w:rPr>
        <w:t xml:space="preserve">, </w:t>
      </w:r>
    </w:p>
    <w:p w14:paraId="06C9E557" w14:textId="2D924295" w:rsidR="002B18E7" w:rsidRDefault="00876118" w:rsidP="001006E2">
      <w:pPr>
        <w:pBdr>
          <w:top w:val="nil"/>
          <w:left w:val="nil"/>
          <w:bottom w:val="nil"/>
          <w:right w:val="nil"/>
          <w:between w:val="nil"/>
        </w:pBdr>
      </w:pPr>
      <w:r w:rsidRPr="00891A3C">
        <w:rPr>
          <w:rFonts w:asciiTheme="minorHAnsi" w:eastAsia="Arial" w:hAnsiTheme="minorHAnsi" w:cs="Arial"/>
          <w:color w:val="000000"/>
        </w:rPr>
        <w:t>Voorzitter Participatieraad</w:t>
      </w:r>
      <w:r w:rsidRPr="00354EDB">
        <w:rPr>
          <w:rFonts w:asciiTheme="minorHAnsi" w:eastAsia="Arial" w:hAnsiTheme="minorHAnsi" w:cs="Arial"/>
          <w:color w:val="000000"/>
        </w:rPr>
        <w:t xml:space="preserve"> Haarlemmermeer</w:t>
      </w:r>
      <w:r w:rsidRPr="00996531">
        <w:rPr>
          <w:rFonts w:asciiTheme="minorHAnsi" w:eastAsia="Arial" w:hAnsiTheme="minorHAnsi" w:cs="Arial"/>
          <w:color w:val="000000"/>
        </w:rPr>
        <w:t xml:space="preserve"> </w:t>
      </w:r>
    </w:p>
    <w:sectPr w:rsidR="002B18E7" w:rsidSect="00247A63">
      <w:headerReference w:type="default" r:id="rId10"/>
      <w:headerReference w:type="first" r:id="rId11"/>
      <w:pgSz w:w="11906" w:h="16838" w:code="9"/>
      <w:pgMar w:top="1440" w:right="2041" w:bottom="1440" w:left="2041" w:header="2608"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3747" w14:textId="77777777" w:rsidR="00E045E2" w:rsidRDefault="00876118">
      <w:pPr>
        <w:spacing w:line="240" w:lineRule="auto"/>
      </w:pPr>
      <w:r>
        <w:separator/>
      </w:r>
    </w:p>
  </w:endnote>
  <w:endnote w:type="continuationSeparator" w:id="0">
    <w:p w14:paraId="489ED2AA" w14:textId="77777777" w:rsidR="00E045E2" w:rsidRDefault="00876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E73" w14:textId="77777777" w:rsidR="00E045E2" w:rsidRDefault="00876118">
      <w:pPr>
        <w:spacing w:line="240" w:lineRule="auto"/>
      </w:pPr>
      <w:r>
        <w:separator/>
      </w:r>
    </w:p>
  </w:footnote>
  <w:footnote w:type="continuationSeparator" w:id="0">
    <w:p w14:paraId="38B63BCF" w14:textId="77777777" w:rsidR="00E045E2" w:rsidRDefault="00876118">
      <w:pPr>
        <w:spacing w:line="240" w:lineRule="auto"/>
      </w:pPr>
      <w:r>
        <w:continuationSeparator/>
      </w:r>
    </w:p>
  </w:footnote>
  <w:footnote w:id="1">
    <w:p w14:paraId="541B1930" w14:textId="77777777" w:rsidR="00C70751" w:rsidRPr="00337514" w:rsidRDefault="00C70751" w:rsidP="00C70751">
      <w:pPr>
        <w:rPr>
          <w:rFonts w:asciiTheme="majorHAnsi" w:hAnsiTheme="majorHAnsi" w:cstheme="majorHAnsi"/>
          <w:sz w:val="18"/>
          <w:szCs w:val="18"/>
        </w:rPr>
      </w:pPr>
      <w:r>
        <w:rPr>
          <w:rStyle w:val="Voetnootmarkering"/>
        </w:rPr>
        <w:footnoteRef/>
      </w:r>
      <w:r>
        <w:t xml:space="preserve"> </w:t>
      </w:r>
      <w:r w:rsidRPr="00337514">
        <w:rPr>
          <w:rFonts w:asciiTheme="majorHAnsi" w:hAnsiTheme="majorHAnsi" w:cstheme="majorHAnsi"/>
          <w:sz w:val="18"/>
          <w:szCs w:val="18"/>
        </w:rPr>
        <w:t>Artikel 6.1. lid 1</w:t>
      </w:r>
      <w:r>
        <w:rPr>
          <w:rFonts w:asciiTheme="majorHAnsi" w:hAnsiTheme="majorHAnsi" w:cstheme="majorHAnsi"/>
          <w:sz w:val="18"/>
          <w:szCs w:val="18"/>
        </w:rPr>
        <w:t xml:space="preserve"> WMO</w:t>
      </w:r>
    </w:p>
    <w:p w14:paraId="2EA22DEA" w14:textId="77777777" w:rsidR="00C70751" w:rsidRPr="00D22F44" w:rsidRDefault="00C70751" w:rsidP="00C70751">
      <w:pPr>
        <w:numPr>
          <w:ilvl w:val="0"/>
          <w:numId w:val="27"/>
        </w:numPr>
        <w:shd w:val="clear" w:color="auto" w:fill="FFFFFF"/>
        <w:spacing w:after="240" w:line="240" w:lineRule="auto"/>
        <w:ind w:left="1560"/>
        <w:rPr>
          <w:rFonts w:asciiTheme="majorHAnsi" w:hAnsiTheme="majorHAnsi" w:cstheme="majorHAnsi"/>
          <w:sz w:val="18"/>
          <w:szCs w:val="18"/>
        </w:rPr>
      </w:pPr>
      <w:r w:rsidRPr="00AB319E">
        <w:rPr>
          <w:rFonts w:asciiTheme="majorHAnsi" w:eastAsia="Times New Roman" w:hAnsiTheme="majorHAnsi" w:cstheme="majorHAnsi"/>
          <w:b/>
          <w:bCs/>
          <w:color w:val="333333"/>
          <w:sz w:val="18"/>
          <w:szCs w:val="18"/>
          <w:lang w:eastAsia="nl-NL"/>
        </w:rPr>
        <w:t>1</w:t>
      </w:r>
      <w:r>
        <w:rPr>
          <w:rFonts w:asciiTheme="majorHAnsi" w:eastAsia="Times New Roman" w:hAnsiTheme="majorHAnsi" w:cstheme="majorHAnsi"/>
          <w:b/>
          <w:bCs/>
          <w:color w:val="333333"/>
          <w:sz w:val="18"/>
          <w:szCs w:val="18"/>
          <w:lang w:eastAsia="nl-NL"/>
        </w:rPr>
        <w:t xml:space="preserve"> </w:t>
      </w:r>
      <w:r w:rsidRPr="00AB319E">
        <w:rPr>
          <w:rFonts w:asciiTheme="majorHAnsi" w:eastAsia="Times New Roman" w:hAnsiTheme="majorHAnsi" w:cstheme="majorHAnsi"/>
          <w:color w:val="333333"/>
          <w:sz w:val="18"/>
          <w:szCs w:val="18"/>
          <w:lang w:eastAsia="nl-NL"/>
        </w:rPr>
        <w:t>Het college wijst personen aan die belast zijn met het houden van toezicht op de naleving van het bepaalde bij of krachtens deze wet.</w:t>
      </w:r>
    </w:p>
    <w:p w14:paraId="1EC83DEE" w14:textId="77777777" w:rsidR="00C70751" w:rsidRDefault="00C70751" w:rsidP="00C70751">
      <w:pPr>
        <w:shd w:val="clear" w:color="auto" w:fill="FFFFFF"/>
        <w:spacing w:after="240" w:line="240" w:lineRule="auto"/>
        <w:rPr>
          <w:rFonts w:asciiTheme="majorHAnsi" w:hAnsiTheme="majorHAnsi" w:cstheme="majorHAnsi"/>
          <w:sz w:val="18"/>
          <w:szCs w:val="18"/>
        </w:rPr>
      </w:pPr>
      <w:r w:rsidRPr="00337514">
        <w:rPr>
          <w:rFonts w:asciiTheme="majorHAnsi" w:hAnsiTheme="majorHAnsi" w:cstheme="majorHAnsi"/>
          <w:sz w:val="18"/>
          <w:szCs w:val="18"/>
        </w:rPr>
        <w:t>Artikel 2.9 onder d van de Jeugdwet</w:t>
      </w:r>
    </w:p>
    <w:p w14:paraId="02FC97BA" w14:textId="77777777" w:rsidR="00C70751" w:rsidRPr="00337514" w:rsidRDefault="00C70751" w:rsidP="00C70751">
      <w:pPr>
        <w:shd w:val="clear" w:color="auto" w:fill="FFFFFF"/>
        <w:spacing w:after="240" w:line="240" w:lineRule="auto"/>
        <w:rPr>
          <w:rFonts w:asciiTheme="majorHAnsi" w:hAnsiTheme="majorHAnsi" w:cstheme="majorHAnsi"/>
          <w:color w:val="333333"/>
          <w:sz w:val="18"/>
          <w:szCs w:val="18"/>
        </w:rPr>
      </w:pPr>
      <w:r w:rsidRPr="00337514">
        <w:rPr>
          <w:rFonts w:asciiTheme="majorHAnsi" w:hAnsiTheme="majorHAnsi" w:cstheme="majorHAnsi"/>
          <w:color w:val="333333"/>
          <w:sz w:val="18"/>
          <w:szCs w:val="18"/>
        </w:rPr>
        <w:t>De gemeenteraad stelt bij verordening en met inachtneming van het bepaalde bij of krachtens deze wet in ieder geval regels:</w:t>
      </w:r>
    </w:p>
    <w:p w14:paraId="2F5559E4" w14:textId="77777777" w:rsidR="00C70751" w:rsidRPr="00337514" w:rsidRDefault="00C70751" w:rsidP="00C70751">
      <w:pPr>
        <w:pStyle w:val="labeled"/>
        <w:numPr>
          <w:ilvl w:val="0"/>
          <w:numId w:val="26"/>
        </w:numPr>
        <w:shd w:val="clear" w:color="auto" w:fill="FFFFFF"/>
        <w:spacing w:before="0" w:beforeAutospacing="0" w:after="240" w:afterAutospacing="0"/>
        <w:ind w:left="1560"/>
        <w:rPr>
          <w:rFonts w:asciiTheme="majorHAnsi" w:hAnsiTheme="majorHAnsi" w:cstheme="majorHAnsi"/>
          <w:color w:val="333333"/>
          <w:sz w:val="18"/>
          <w:szCs w:val="18"/>
        </w:rPr>
      </w:pPr>
      <w:r w:rsidRPr="00337514">
        <w:rPr>
          <w:rStyle w:val="ol"/>
          <w:rFonts w:asciiTheme="majorHAnsi" w:hAnsiTheme="majorHAnsi" w:cstheme="majorHAnsi"/>
          <w:b/>
          <w:bCs/>
          <w:color w:val="333333"/>
          <w:sz w:val="18"/>
          <w:szCs w:val="18"/>
        </w:rPr>
        <w:t xml:space="preserve">d. </w:t>
      </w:r>
      <w:r w:rsidRPr="00337514">
        <w:rPr>
          <w:rFonts w:asciiTheme="majorHAnsi" w:hAnsiTheme="majorHAnsi" w:cstheme="majorHAnsi"/>
          <w:color w:val="333333"/>
          <w:sz w:val="18"/>
          <w:szCs w:val="18"/>
        </w:rPr>
        <w:t>voor de bestrijding van het ten onrechte ontvangen van een individuele voorziening of een persoonsgebonden budget, alsmede van misbruik of oneigenlijk gebruik van de wet.</w:t>
      </w:r>
    </w:p>
    <w:p w14:paraId="786656D2" w14:textId="77777777" w:rsidR="00C70751" w:rsidRDefault="00C70751" w:rsidP="00C70751">
      <w:pPr>
        <w:pStyle w:val="Voetnoottekst"/>
      </w:pPr>
    </w:p>
  </w:footnote>
  <w:footnote w:id="2">
    <w:p w14:paraId="091DA2B7" w14:textId="77777777" w:rsidR="00C70751" w:rsidRDefault="00C70751" w:rsidP="00C70751">
      <w:pPr>
        <w:pStyle w:val="Voetnoottekst"/>
      </w:pPr>
      <w:r>
        <w:rPr>
          <w:rStyle w:val="Voetnootmarkering"/>
        </w:rPr>
        <w:footnoteRef/>
      </w:r>
      <w:r>
        <w:t xml:space="preserve"> </w:t>
      </w:r>
      <w:r w:rsidRPr="00E70B9F">
        <w:rPr>
          <w:rFonts w:asciiTheme="majorHAnsi" w:hAnsiTheme="majorHAnsi"/>
          <w:sz w:val="18"/>
          <w:szCs w:val="18"/>
        </w:rPr>
        <w:t>Paragraaf 2.2 Handreiking WMO-toezicht, VNG december 2020.</w:t>
      </w:r>
    </w:p>
  </w:footnote>
  <w:footnote w:id="3">
    <w:p w14:paraId="50F7F3A9" w14:textId="77777777" w:rsidR="00C70751" w:rsidRPr="0064476B" w:rsidRDefault="00C70751" w:rsidP="00C70751">
      <w:pPr>
        <w:rPr>
          <w:rFonts w:asciiTheme="majorHAnsi" w:hAnsiTheme="majorHAnsi" w:cstheme="majorHAnsi"/>
        </w:rPr>
      </w:pPr>
      <w:r w:rsidRPr="0064476B">
        <w:rPr>
          <w:rStyle w:val="Voetnootmarkering"/>
          <w:rFonts w:asciiTheme="majorHAnsi" w:hAnsiTheme="majorHAnsi" w:cstheme="majorHAnsi"/>
        </w:rPr>
        <w:footnoteRef/>
      </w:r>
      <w:r w:rsidRPr="0064476B">
        <w:rPr>
          <w:rFonts w:asciiTheme="majorHAnsi" w:hAnsiTheme="majorHAnsi" w:cstheme="majorHAnsi"/>
        </w:rPr>
        <w:t xml:space="preserve"> </w:t>
      </w:r>
    </w:p>
    <w:p w14:paraId="534B888A" w14:textId="77777777" w:rsidR="00C70751" w:rsidRDefault="00C70751" w:rsidP="00C70751">
      <w:pPr>
        <w:rPr>
          <w:rFonts w:asciiTheme="majorHAnsi" w:hAnsiTheme="majorHAnsi" w:cstheme="majorHAnsi"/>
        </w:rPr>
      </w:pPr>
      <w:r>
        <w:rPr>
          <w:rFonts w:asciiTheme="majorHAnsi" w:hAnsiTheme="majorHAnsi" w:cstheme="majorHAnsi"/>
        </w:rPr>
        <w:t xml:space="preserve">Handreiking </w:t>
      </w:r>
      <w:r w:rsidRPr="0064476B">
        <w:rPr>
          <w:rFonts w:asciiTheme="majorHAnsi" w:hAnsiTheme="majorHAnsi" w:cstheme="majorHAnsi"/>
        </w:rPr>
        <w:t>VNG, para</w:t>
      </w:r>
      <w:r>
        <w:rPr>
          <w:rFonts w:asciiTheme="majorHAnsi" w:hAnsiTheme="majorHAnsi" w:cstheme="majorHAnsi"/>
        </w:rPr>
        <w:t>g</w:t>
      </w:r>
      <w:r w:rsidRPr="0064476B">
        <w:rPr>
          <w:rFonts w:asciiTheme="majorHAnsi" w:hAnsiTheme="majorHAnsi" w:cstheme="majorHAnsi"/>
        </w:rPr>
        <w:t xml:space="preserve">raaf 2.2. Binnen Wmo-toezicht zijn er twee typen inhoudelijke onderdelen te onderscheiden, namelijk toezicht op naleving van de kwaliteitseisen en toezicht op rechtmatigheid en fraudebestrijding. In de praktijk komen deze vormen vaak bij elkaar: als er problemen geconstateerd worden met de rechtmatigheid, is de kans aanwezig dat ook de kwaliteit van de ondersteuning gebreken kent. In hoofdstuk 4.1.4. bieden we enkele handvatten voor het bij elkaar brengen van deze typen onderzoek. </w:t>
      </w:r>
    </w:p>
    <w:p w14:paraId="13C1F06D" w14:textId="77777777" w:rsidR="00C70751" w:rsidRPr="0064476B" w:rsidRDefault="00C70751" w:rsidP="00C70751">
      <w:pPr>
        <w:rPr>
          <w:rFonts w:asciiTheme="majorHAnsi" w:hAnsiTheme="majorHAnsi" w:cstheme="majorHAnsi"/>
        </w:rPr>
      </w:pPr>
      <w:r w:rsidRPr="0064476B">
        <w:rPr>
          <w:rFonts w:asciiTheme="majorHAnsi" w:hAnsiTheme="majorHAnsi" w:cstheme="majorHAnsi"/>
        </w:rPr>
        <w:t>a Toezicht op naleving van de kwaliteitseisen. Bij dit onderdeel gaat het om het toezicht op de naleving van de (kwaliteits-)eisen die gesteld zijn in de wet- en regelgeving. Gemeenten kunnen de wettelijke kwaliteitseisen in hun eigen beleid nader uitwerken. Het is zeer aan te raden bij het fo</w:t>
      </w:r>
      <w:r>
        <w:rPr>
          <w:rFonts w:asciiTheme="majorHAnsi" w:hAnsiTheme="majorHAnsi" w:cstheme="majorHAnsi"/>
        </w:rPr>
        <w:t>r</w:t>
      </w:r>
      <w:r w:rsidRPr="0064476B">
        <w:rPr>
          <w:rFonts w:asciiTheme="majorHAnsi" w:hAnsiTheme="majorHAnsi" w:cstheme="majorHAnsi"/>
        </w:rPr>
        <w:t xml:space="preserve">muleren van de kwaliteitseisen al na te denken over </w:t>
      </w:r>
      <w:proofErr w:type="spellStart"/>
      <w:r w:rsidRPr="0064476B">
        <w:rPr>
          <w:rFonts w:asciiTheme="majorHAnsi" w:hAnsiTheme="majorHAnsi" w:cstheme="majorHAnsi"/>
        </w:rPr>
        <w:t>toetsbaarheid</w:t>
      </w:r>
      <w:proofErr w:type="spellEnd"/>
      <w:r w:rsidRPr="0064476B">
        <w:rPr>
          <w:rFonts w:asciiTheme="majorHAnsi" w:hAnsiTheme="majorHAnsi" w:cstheme="majorHAnsi"/>
        </w:rPr>
        <w:t xml:space="preserve"> en handhaafbaarheid;  </w:t>
      </w:r>
    </w:p>
    <w:p w14:paraId="1231345B" w14:textId="77777777" w:rsidR="00C70751" w:rsidRDefault="00C70751" w:rsidP="00C70751">
      <w:pPr>
        <w:pStyle w:val="Voetnoottekst"/>
      </w:pPr>
    </w:p>
  </w:footnote>
  <w:footnote w:id="4">
    <w:p w14:paraId="04B247BA" w14:textId="77777777" w:rsidR="00C70751" w:rsidRDefault="00C70751" w:rsidP="00C70751">
      <w:pPr>
        <w:pStyle w:val="Voetnoottekst"/>
      </w:pPr>
      <w:r>
        <w:rPr>
          <w:rStyle w:val="Voetnootmarkering"/>
        </w:rPr>
        <w:footnoteRef/>
      </w:r>
      <w:r>
        <w:t xml:space="preserve"> Toekomstscenario’s toezicht WMO, Significant,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823" w:tblpY="795"/>
      <w:tblOverlap w:val="never"/>
      <w:tblW w:w="9072" w:type="dxa"/>
      <w:tblBorders>
        <w:top w:val="nil"/>
        <w:left w:val="nil"/>
        <w:bottom w:val="nil"/>
        <w:right w:val="nil"/>
        <w:insideH w:val="nil"/>
        <w:insideV w:val="nil"/>
      </w:tblBorders>
      <w:tblLook w:val="04A0" w:firstRow="1" w:lastRow="0" w:firstColumn="1" w:lastColumn="0" w:noHBand="0" w:noVBand="1"/>
    </w:tblPr>
    <w:tblGrid>
      <w:gridCol w:w="1134"/>
      <w:gridCol w:w="5670"/>
      <w:gridCol w:w="2268"/>
    </w:tblGrid>
    <w:tr w:rsidR="00D4152C" w14:paraId="02F7474B" w14:textId="77777777" w:rsidTr="002B5FD1">
      <w:tc>
        <w:tcPr>
          <w:tcW w:w="1134" w:type="dxa"/>
        </w:tcPr>
        <w:p w14:paraId="1E1E713C" w14:textId="77777777" w:rsidR="009063BC" w:rsidRDefault="006B2708" w:rsidP="002B5FD1">
          <w:pPr>
            <w:spacing w:line="240" w:lineRule="atLeast"/>
            <w:jc w:val="right"/>
            <w:rPr>
              <w:sz w:val="14"/>
              <w:szCs w:val="14"/>
            </w:rPr>
          </w:pPr>
        </w:p>
      </w:tc>
      <w:tc>
        <w:tcPr>
          <w:tcW w:w="5670" w:type="dxa"/>
          <w:tcMar>
            <w:left w:w="85" w:type="dxa"/>
          </w:tcMar>
        </w:tcPr>
        <w:p w14:paraId="13ED11FF" w14:textId="3BB8914A" w:rsidR="009063BC" w:rsidRDefault="00876118" w:rsidP="002B5FD1">
          <w:pPr>
            <w:spacing w:line="240" w:lineRule="atLeast"/>
            <w:rPr>
              <w:sz w:val="14"/>
              <w:szCs w:val="14"/>
            </w:rPr>
          </w:pPr>
          <w:r w:rsidRPr="009063BC">
            <w:rPr>
              <w:sz w:val="14"/>
              <w:szCs w:val="14"/>
            </w:rPr>
            <w:t>Ons kenmerk</w:t>
          </w:r>
          <w:r>
            <w:rPr>
              <w:sz w:val="14"/>
              <w:szCs w:val="14"/>
            </w:rPr>
            <w:t xml:space="preserve">: </w:t>
          </w:r>
          <w:r w:rsidR="007B020D">
            <w:rPr>
              <w:sz w:val="14"/>
              <w:szCs w:val="14"/>
            </w:rPr>
            <w:t>PRH20</w:t>
          </w:r>
          <w:r w:rsidR="00996531">
            <w:rPr>
              <w:sz w:val="14"/>
              <w:szCs w:val="14"/>
            </w:rPr>
            <w:t>2</w:t>
          </w:r>
          <w:r w:rsidR="0050453D">
            <w:rPr>
              <w:sz w:val="14"/>
              <w:szCs w:val="14"/>
            </w:rPr>
            <w:t>2-0</w:t>
          </w:r>
          <w:r w:rsidR="00C70751">
            <w:rPr>
              <w:sz w:val="14"/>
              <w:szCs w:val="14"/>
            </w:rPr>
            <w:t>9</w:t>
          </w:r>
        </w:p>
        <w:p w14:paraId="10EADF8B" w14:textId="2A8A3A58" w:rsidR="0050453D" w:rsidRPr="009063BC" w:rsidRDefault="0050453D" w:rsidP="002B5FD1">
          <w:pPr>
            <w:spacing w:line="240" w:lineRule="atLeast"/>
            <w:rPr>
              <w:sz w:val="14"/>
              <w:szCs w:val="14"/>
            </w:rPr>
          </w:pPr>
        </w:p>
      </w:tc>
      <w:tc>
        <w:tcPr>
          <w:tcW w:w="2268" w:type="dxa"/>
        </w:tcPr>
        <w:p w14:paraId="1D8E9BAF" w14:textId="77777777" w:rsidR="009063BC" w:rsidRPr="009063BC" w:rsidRDefault="00876118" w:rsidP="002B5FD1">
          <w:pPr>
            <w:spacing w:line="240" w:lineRule="atLeast"/>
            <w:jc w:val="right"/>
            <w:rPr>
              <w:sz w:val="14"/>
              <w:szCs w:val="14"/>
            </w:rPr>
          </w:pPr>
          <w:r w:rsidRPr="009063BC">
            <w:rPr>
              <w:sz w:val="14"/>
              <w:szCs w:val="14"/>
            </w:rPr>
            <w:t xml:space="preserve">Pagina </w:t>
          </w:r>
          <w:r w:rsidRPr="009063BC">
            <w:rPr>
              <w:b/>
              <w:bCs/>
              <w:sz w:val="14"/>
              <w:szCs w:val="14"/>
            </w:rPr>
            <w:fldChar w:fldCharType="begin"/>
          </w:r>
          <w:r w:rsidRPr="009063BC">
            <w:rPr>
              <w:b/>
              <w:bCs/>
              <w:sz w:val="14"/>
              <w:szCs w:val="14"/>
            </w:rPr>
            <w:instrText>PAGE  \* Arabic  \* MERGEFORMAT</w:instrText>
          </w:r>
          <w:r w:rsidRPr="009063BC">
            <w:rPr>
              <w:b/>
              <w:bCs/>
              <w:sz w:val="14"/>
              <w:szCs w:val="14"/>
            </w:rPr>
            <w:fldChar w:fldCharType="separate"/>
          </w:r>
          <w:r w:rsidRPr="009063BC">
            <w:rPr>
              <w:b/>
              <w:bCs/>
              <w:sz w:val="14"/>
              <w:szCs w:val="14"/>
            </w:rPr>
            <w:t>3</w:t>
          </w:r>
          <w:r w:rsidRPr="009063BC">
            <w:rPr>
              <w:b/>
              <w:bCs/>
              <w:sz w:val="14"/>
              <w:szCs w:val="14"/>
            </w:rPr>
            <w:fldChar w:fldCharType="end"/>
          </w:r>
        </w:p>
      </w:tc>
    </w:tr>
  </w:tbl>
  <w:p w14:paraId="6376BCFE" w14:textId="5D1A44C9" w:rsidR="009063BC" w:rsidRDefault="00354EDB" w:rsidP="00354EDB">
    <w:pPr>
      <w:pStyle w:val="Koptekst"/>
      <w:tabs>
        <w:tab w:val="clear" w:pos="4536"/>
        <w:tab w:val="clear" w:pos="9072"/>
        <w:tab w:val="left" w:pos="30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710" w:tblpY="3120"/>
      <w:tblOverlap w:val="never"/>
      <w:tblW w:w="10594" w:type="dxa"/>
      <w:tblBorders>
        <w:top w:val="nil"/>
        <w:left w:val="nil"/>
        <w:bottom w:val="nil"/>
        <w:right w:val="nil"/>
        <w:insideH w:val="nil"/>
        <w:insideV w:val="nil"/>
      </w:tblBorders>
      <w:tblLook w:val="04A0" w:firstRow="1" w:lastRow="0" w:firstColumn="1" w:lastColumn="0" w:noHBand="0" w:noVBand="1"/>
    </w:tblPr>
    <w:tblGrid>
      <w:gridCol w:w="1271"/>
      <w:gridCol w:w="6438"/>
      <w:gridCol w:w="2885"/>
    </w:tblGrid>
    <w:tr w:rsidR="00D4152C" w14:paraId="78303AEE" w14:textId="77777777" w:rsidTr="003168F4">
      <w:tc>
        <w:tcPr>
          <w:tcW w:w="1271" w:type="dxa"/>
        </w:tcPr>
        <w:p w14:paraId="1559A546" w14:textId="77777777" w:rsidR="00B167EE" w:rsidRPr="00A06D61" w:rsidRDefault="006B2708" w:rsidP="00F61FDF">
          <w:pPr>
            <w:spacing w:line="240" w:lineRule="atLeast"/>
            <w:rPr>
              <w:sz w:val="14"/>
              <w:szCs w:val="14"/>
            </w:rPr>
          </w:pPr>
        </w:p>
      </w:tc>
      <w:tc>
        <w:tcPr>
          <w:tcW w:w="6438" w:type="dxa"/>
          <w:tcMar>
            <w:left w:w="57" w:type="dxa"/>
          </w:tcMar>
        </w:tcPr>
        <w:p w14:paraId="2B2639F6" w14:textId="77777777" w:rsidR="00B167EE" w:rsidRDefault="006B2708" w:rsidP="00F61FDF">
          <w:pPr>
            <w:spacing w:line="240" w:lineRule="atLeast"/>
          </w:pPr>
        </w:p>
      </w:tc>
      <w:tc>
        <w:tcPr>
          <w:tcW w:w="2885" w:type="dxa"/>
        </w:tcPr>
        <w:p w14:paraId="748A4970" w14:textId="77777777" w:rsidR="00B167EE" w:rsidRPr="00A06D61" w:rsidRDefault="006B2708" w:rsidP="00F61FDF">
          <w:pPr>
            <w:spacing w:line="240" w:lineRule="atLeast"/>
            <w:rPr>
              <w:sz w:val="14"/>
              <w:szCs w:val="14"/>
            </w:rPr>
          </w:pPr>
        </w:p>
      </w:tc>
    </w:tr>
    <w:tr w:rsidR="00876118" w14:paraId="775D7885" w14:textId="77777777" w:rsidTr="003168F4">
      <w:trPr>
        <w:trHeight w:val="1701"/>
      </w:trPr>
      <w:tc>
        <w:tcPr>
          <w:tcW w:w="1271" w:type="dxa"/>
        </w:tcPr>
        <w:p w14:paraId="6D51B65E" w14:textId="77777777" w:rsidR="00876118" w:rsidRPr="00A06D61" w:rsidRDefault="00876118" w:rsidP="00876118">
          <w:pPr>
            <w:spacing w:line="240" w:lineRule="atLeast"/>
            <w:rPr>
              <w:sz w:val="14"/>
              <w:szCs w:val="14"/>
            </w:rPr>
          </w:pPr>
        </w:p>
      </w:tc>
      <w:tc>
        <w:tcPr>
          <w:tcW w:w="6438" w:type="dxa"/>
          <w:tcMar>
            <w:left w:w="57" w:type="dxa"/>
          </w:tcMar>
        </w:tcPr>
        <w:p w14:paraId="72CE225D" w14:textId="77777777" w:rsidR="00876118" w:rsidRDefault="00876118" w:rsidP="00876118">
          <w:pPr>
            <w:spacing w:line="280" w:lineRule="exact"/>
          </w:pPr>
        </w:p>
        <w:p w14:paraId="6909517A" w14:textId="77777777" w:rsidR="00876118" w:rsidRDefault="00876118" w:rsidP="00876118">
          <w:pPr>
            <w:spacing w:line="280" w:lineRule="exact"/>
          </w:pPr>
          <w:r w:rsidRPr="00E93F6B">
            <w:t>Aan het college van Burgemeester en Wethouders van de gemeente Haarlemmermeer</w:t>
          </w:r>
        </w:p>
      </w:tc>
      <w:tc>
        <w:tcPr>
          <w:tcW w:w="2885" w:type="dxa"/>
        </w:tcPr>
        <w:p w14:paraId="2587B3BA" w14:textId="77777777" w:rsidR="00876118" w:rsidRDefault="00876118" w:rsidP="00876118">
          <w:pPr>
            <w:spacing w:line="240" w:lineRule="atLeast"/>
            <w:rPr>
              <w:sz w:val="14"/>
              <w:szCs w:val="14"/>
            </w:rPr>
          </w:pPr>
          <w:r>
            <w:rPr>
              <w:sz w:val="14"/>
              <w:szCs w:val="14"/>
            </w:rPr>
            <w:t>Postbus 250</w:t>
          </w:r>
        </w:p>
        <w:p w14:paraId="6206AA74" w14:textId="77777777" w:rsidR="00876118" w:rsidRDefault="00876118" w:rsidP="00876118">
          <w:pPr>
            <w:spacing w:line="240" w:lineRule="atLeast"/>
            <w:rPr>
              <w:sz w:val="14"/>
              <w:szCs w:val="14"/>
            </w:rPr>
          </w:pPr>
          <w:r>
            <w:rPr>
              <w:sz w:val="14"/>
              <w:szCs w:val="14"/>
            </w:rPr>
            <w:t>2130 AG Hoofddorp</w:t>
          </w:r>
        </w:p>
        <w:p w14:paraId="34C613B6" w14:textId="77777777" w:rsidR="00876118" w:rsidRDefault="00876118" w:rsidP="00876118">
          <w:pPr>
            <w:spacing w:line="240" w:lineRule="atLeast"/>
            <w:rPr>
              <w:sz w:val="14"/>
              <w:szCs w:val="14"/>
            </w:rPr>
          </w:pPr>
        </w:p>
        <w:p w14:paraId="2DEEF25A" w14:textId="77777777" w:rsidR="00876118" w:rsidRDefault="00876118" w:rsidP="00876118">
          <w:pPr>
            <w:spacing w:line="240" w:lineRule="atLeast"/>
            <w:rPr>
              <w:sz w:val="14"/>
              <w:szCs w:val="14"/>
            </w:rPr>
          </w:pPr>
          <w:r>
            <w:rPr>
              <w:sz w:val="14"/>
              <w:szCs w:val="14"/>
            </w:rPr>
            <w:t>Bezoekadres:</w:t>
          </w:r>
        </w:p>
        <w:p w14:paraId="42D43A3E" w14:textId="77777777" w:rsidR="00876118" w:rsidRDefault="00876118" w:rsidP="00876118">
          <w:pPr>
            <w:spacing w:line="240" w:lineRule="atLeast"/>
            <w:rPr>
              <w:sz w:val="14"/>
              <w:szCs w:val="14"/>
            </w:rPr>
          </w:pPr>
          <w:r w:rsidRPr="00B56FB1">
            <w:rPr>
              <w:sz w:val="14"/>
              <w:szCs w:val="14"/>
            </w:rPr>
            <w:t>Raadhuisplein 1</w:t>
          </w:r>
        </w:p>
        <w:p w14:paraId="62CB244E" w14:textId="77777777" w:rsidR="00876118" w:rsidRPr="00B56FB1" w:rsidRDefault="00876118" w:rsidP="00876118">
          <w:pPr>
            <w:spacing w:line="240" w:lineRule="exact"/>
            <w:rPr>
              <w:sz w:val="14"/>
              <w:szCs w:val="14"/>
            </w:rPr>
          </w:pPr>
          <w:r w:rsidRPr="00B56FB1">
            <w:rPr>
              <w:sz w:val="14"/>
              <w:szCs w:val="14"/>
            </w:rPr>
            <w:t>Hoofddorp</w:t>
          </w:r>
        </w:p>
        <w:p w14:paraId="263C9EA0" w14:textId="77777777" w:rsidR="00876118" w:rsidRDefault="00876118" w:rsidP="00876118">
          <w:pPr>
            <w:spacing w:line="240" w:lineRule="atLeast"/>
            <w:rPr>
              <w:sz w:val="14"/>
              <w:szCs w:val="14"/>
            </w:rPr>
          </w:pPr>
          <w:r>
            <w:rPr>
              <w:sz w:val="14"/>
              <w:szCs w:val="14"/>
            </w:rPr>
            <w:t>Telefoon 0900 1852</w:t>
          </w:r>
        </w:p>
        <w:p w14:paraId="7E9E353D" w14:textId="77777777" w:rsidR="00876118" w:rsidRDefault="00876118" w:rsidP="00876118">
          <w:pPr>
            <w:spacing w:line="240" w:lineRule="atLeast"/>
            <w:rPr>
              <w:sz w:val="14"/>
              <w:szCs w:val="14"/>
            </w:rPr>
          </w:pPr>
          <w:r>
            <w:rPr>
              <w:sz w:val="14"/>
              <w:szCs w:val="14"/>
            </w:rPr>
            <w:t>Faxnummer 023 563 95 50</w:t>
          </w:r>
        </w:p>
        <w:p w14:paraId="166D728D" w14:textId="77777777" w:rsidR="00876118" w:rsidRDefault="00876118" w:rsidP="00876118">
          <w:pPr>
            <w:spacing w:line="240" w:lineRule="atLeast"/>
            <w:rPr>
              <w:sz w:val="14"/>
              <w:szCs w:val="14"/>
            </w:rPr>
          </w:pPr>
        </w:p>
        <w:p w14:paraId="7FD05BC4" w14:textId="77777777" w:rsidR="00876118" w:rsidRPr="00A06D61" w:rsidRDefault="00876118" w:rsidP="00876118">
          <w:pPr>
            <w:spacing w:line="240" w:lineRule="atLeast"/>
            <w:rPr>
              <w:sz w:val="14"/>
              <w:szCs w:val="14"/>
            </w:rPr>
          </w:pPr>
        </w:p>
      </w:tc>
    </w:tr>
    <w:tr w:rsidR="00876118" w14:paraId="5FB7E6B7" w14:textId="77777777" w:rsidTr="003168F4">
      <w:tc>
        <w:tcPr>
          <w:tcW w:w="1271" w:type="dxa"/>
          <w:noWrap/>
          <w:vAlign w:val="center"/>
        </w:tcPr>
        <w:p w14:paraId="57E56C25" w14:textId="77777777" w:rsidR="00876118" w:rsidRPr="00A06D61" w:rsidRDefault="00876118" w:rsidP="00876118">
          <w:pPr>
            <w:spacing w:line="240" w:lineRule="atLeast"/>
            <w:jc w:val="right"/>
            <w:rPr>
              <w:sz w:val="14"/>
              <w:szCs w:val="14"/>
            </w:rPr>
          </w:pPr>
          <w:r>
            <w:rPr>
              <w:sz w:val="14"/>
              <w:szCs w:val="14"/>
            </w:rPr>
            <w:t>Cluster</w:t>
          </w:r>
        </w:p>
      </w:tc>
      <w:tc>
        <w:tcPr>
          <w:tcW w:w="6438" w:type="dxa"/>
          <w:tcMar>
            <w:left w:w="57" w:type="dxa"/>
          </w:tcMar>
        </w:tcPr>
        <w:p w14:paraId="17729B97" w14:textId="77777777" w:rsidR="00876118" w:rsidRPr="00062480" w:rsidRDefault="00876118" w:rsidP="00876118">
          <w:pPr>
            <w:spacing w:line="240" w:lineRule="atLeast"/>
          </w:pPr>
          <w:r w:rsidRPr="00062480">
            <w:t>Maatschappelijke Ondersteuning en Zorg</w:t>
          </w:r>
        </w:p>
      </w:tc>
      <w:tc>
        <w:tcPr>
          <w:tcW w:w="2885" w:type="dxa"/>
        </w:tcPr>
        <w:p w14:paraId="22C7A2A9" w14:textId="77777777" w:rsidR="00876118" w:rsidRPr="00B167EE" w:rsidRDefault="00876118" w:rsidP="00876118">
          <w:pPr>
            <w:spacing w:line="240" w:lineRule="atLeast"/>
            <w:rPr>
              <w:sz w:val="14"/>
              <w:szCs w:val="14"/>
            </w:rPr>
          </w:pPr>
          <w:r w:rsidRPr="00B167EE">
            <w:rPr>
              <w:sz w:val="14"/>
              <w:szCs w:val="14"/>
            </w:rPr>
            <w:t>Verzenddatum</w:t>
          </w:r>
          <w:r>
            <w:rPr>
              <w:sz w:val="14"/>
              <w:szCs w:val="14"/>
            </w:rPr>
            <w:t xml:space="preserve"> </w:t>
          </w:r>
        </w:p>
      </w:tc>
    </w:tr>
    <w:tr w:rsidR="00876118" w14:paraId="394E3CB0" w14:textId="77777777" w:rsidTr="003168F4">
      <w:tc>
        <w:tcPr>
          <w:tcW w:w="1271" w:type="dxa"/>
          <w:noWrap/>
          <w:vAlign w:val="center"/>
        </w:tcPr>
        <w:p w14:paraId="2D1AD299" w14:textId="77777777" w:rsidR="00876118" w:rsidRDefault="00876118" w:rsidP="00876118">
          <w:pPr>
            <w:spacing w:line="240" w:lineRule="atLeast"/>
            <w:jc w:val="right"/>
            <w:rPr>
              <w:sz w:val="14"/>
              <w:szCs w:val="14"/>
            </w:rPr>
          </w:pPr>
          <w:r>
            <w:rPr>
              <w:sz w:val="14"/>
              <w:szCs w:val="14"/>
            </w:rPr>
            <w:t>Contactpersoon</w:t>
          </w:r>
        </w:p>
      </w:tc>
      <w:tc>
        <w:tcPr>
          <w:tcW w:w="6438" w:type="dxa"/>
          <w:tcMar>
            <w:left w:w="57" w:type="dxa"/>
          </w:tcMar>
        </w:tcPr>
        <w:p w14:paraId="790E026F" w14:textId="77777777" w:rsidR="00876118" w:rsidRPr="00062480" w:rsidRDefault="00876118" w:rsidP="00876118">
          <w:pPr>
            <w:spacing w:line="240" w:lineRule="atLeast"/>
          </w:pPr>
          <w:r w:rsidRPr="00062480">
            <w:t>mevrouw</w:t>
          </w:r>
          <w:r w:rsidRPr="00062480">
            <w:rPr>
              <w:rFonts w:ascii="Times New Roman" w:hAnsi="Times New Roman"/>
            </w:rPr>
            <w:t xml:space="preserve"> </w:t>
          </w:r>
          <w:r w:rsidRPr="00062480">
            <w:t>I. van Dijk (secretaris Participatieraad)</w:t>
          </w:r>
        </w:p>
      </w:tc>
      <w:tc>
        <w:tcPr>
          <w:tcW w:w="2885" w:type="dxa"/>
        </w:tcPr>
        <w:p w14:paraId="298047C6" w14:textId="26D25860" w:rsidR="00876118" w:rsidRPr="007B020D" w:rsidRDefault="007D4489" w:rsidP="00876118">
          <w:pPr>
            <w:spacing w:line="240" w:lineRule="atLeast"/>
          </w:pPr>
          <w:r>
            <w:t>4 oktober 2022</w:t>
          </w:r>
        </w:p>
      </w:tc>
    </w:tr>
    <w:tr w:rsidR="00876118" w14:paraId="6E820BA3" w14:textId="77777777" w:rsidTr="003168F4">
      <w:tc>
        <w:tcPr>
          <w:tcW w:w="1271" w:type="dxa"/>
          <w:noWrap/>
          <w:vAlign w:val="center"/>
        </w:tcPr>
        <w:p w14:paraId="097B09E7" w14:textId="77777777" w:rsidR="00876118" w:rsidRDefault="00876118" w:rsidP="00876118">
          <w:pPr>
            <w:jc w:val="right"/>
            <w:rPr>
              <w:sz w:val="14"/>
              <w:szCs w:val="14"/>
            </w:rPr>
          </w:pPr>
          <w:r w:rsidRPr="00B84106">
            <w:rPr>
              <w:sz w:val="14"/>
              <w:szCs w:val="14"/>
            </w:rPr>
            <w:t>Telefoon</w:t>
          </w:r>
        </w:p>
      </w:tc>
      <w:tc>
        <w:tcPr>
          <w:tcW w:w="6438" w:type="dxa"/>
          <w:tcMar>
            <w:left w:w="57" w:type="dxa"/>
          </w:tcMar>
        </w:tcPr>
        <w:p w14:paraId="50378DDA" w14:textId="77777777" w:rsidR="00876118" w:rsidRPr="00062480" w:rsidRDefault="00876118" w:rsidP="00876118">
          <w:r w:rsidRPr="00062480">
            <w:t>0900 1852</w:t>
          </w:r>
        </w:p>
      </w:tc>
      <w:tc>
        <w:tcPr>
          <w:tcW w:w="2885" w:type="dxa"/>
        </w:tcPr>
        <w:p w14:paraId="7E49C11A" w14:textId="77777777" w:rsidR="00876118" w:rsidRDefault="00876118" w:rsidP="00876118"/>
      </w:tc>
    </w:tr>
    <w:tr w:rsidR="00876118" w14:paraId="6C40F0BE" w14:textId="77777777" w:rsidTr="003168F4">
      <w:tc>
        <w:tcPr>
          <w:tcW w:w="1271" w:type="dxa"/>
          <w:noWrap/>
          <w:vAlign w:val="center"/>
        </w:tcPr>
        <w:p w14:paraId="0E055C89" w14:textId="77777777" w:rsidR="00876118" w:rsidRDefault="00876118" w:rsidP="00876118">
          <w:pPr>
            <w:spacing w:line="240" w:lineRule="atLeast"/>
            <w:jc w:val="right"/>
            <w:rPr>
              <w:sz w:val="14"/>
              <w:szCs w:val="14"/>
            </w:rPr>
          </w:pPr>
          <w:r>
            <w:rPr>
              <w:sz w:val="14"/>
              <w:szCs w:val="14"/>
            </w:rPr>
            <w:t>Uw brief</w:t>
          </w:r>
        </w:p>
      </w:tc>
      <w:tc>
        <w:tcPr>
          <w:tcW w:w="6438" w:type="dxa"/>
          <w:tcMar>
            <w:left w:w="57" w:type="dxa"/>
          </w:tcMar>
        </w:tcPr>
        <w:p w14:paraId="7EBBB208" w14:textId="11721EAA" w:rsidR="00876118" w:rsidRPr="00062480" w:rsidRDefault="00876118" w:rsidP="00354EDB">
          <w:pPr>
            <w:tabs>
              <w:tab w:val="center" w:pos="3136"/>
            </w:tabs>
            <w:spacing w:line="240" w:lineRule="atLeast"/>
          </w:pPr>
        </w:p>
      </w:tc>
      <w:tc>
        <w:tcPr>
          <w:tcW w:w="2885" w:type="dxa"/>
        </w:tcPr>
        <w:p w14:paraId="01A9DAF1" w14:textId="77777777" w:rsidR="00876118" w:rsidRDefault="00876118" w:rsidP="00876118">
          <w:pPr>
            <w:spacing w:line="240" w:lineRule="atLeast"/>
          </w:pPr>
        </w:p>
      </w:tc>
    </w:tr>
    <w:tr w:rsidR="00876118" w14:paraId="3B0E058A" w14:textId="77777777" w:rsidTr="003168F4">
      <w:tc>
        <w:tcPr>
          <w:tcW w:w="1271" w:type="dxa"/>
          <w:noWrap/>
          <w:vAlign w:val="center"/>
        </w:tcPr>
        <w:p w14:paraId="126094C6" w14:textId="77777777" w:rsidR="00876118" w:rsidRDefault="00876118" w:rsidP="00876118">
          <w:pPr>
            <w:spacing w:line="240" w:lineRule="atLeast"/>
            <w:jc w:val="right"/>
            <w:rPr>
              <w:sz w:val="14"/>
              <w:szCs w:val="14"/>
            </w:rPr>
          </w:pPr>
          <w:r>
            <w:rPr>
              <w:sz w:val="14"/>
              <w:szCs w:val="14"/>
            </w:rPr>
            <w:t>Ons kenmerk</w:t>
          </w:r>
        </w:p>
      </w:tc>
      <w:tc>
        <w:tcPr>
          <w:tcW w:w="6438" w:type="dxa"/>
          <w:tcMar>
            <w:left w:w="57" w:type="dxa"/>
          </w:tcMar>
        </w:tcPr>
        <w:p w14:paraId="1E383697" w14:textId="695D29CB" w:rsidR="00876118" w:rsidRPr="00062480" w:rsidRDefault="00876118" w:rsidP="00876118">
          <w:pPr>
            <w:spacing w:line="240" w:lineRule="atLeast"/>
          </w:pPr>
          <w:r w:rsidRPr="00062480">
            <w:t>P</w:t>
          </w:r>
          <w:r w:rsidR="00155DB6" w:rsidRPr="00062480">
            <w:t>RH20</w:t>
          </w:r>
          <w:r w:rsidR="00AD0EA1" w:rsidRPr="00062480">
            <w:t>2</w:t>
          </w:r>
          <w:r w:rsidR="00661777">
            <w:t>2-</w:t>
          </w:r>
          <w:r w:rsidR="001006E2">
            <w:t>0</w:t>
          </w:r>
          <w:r w:rsidR="00C70751">
            <w:t>9</w:t>
          </w:r>
        </w:p>
      </w:tc>
      <w:tc>
        <w:tcPr>
          <w:tcW w:w="2885" w:type="dxa"/>
        </w:tcPr>
        <w:p w14:paraId="6D92FD58" w14:textId="77777777" w:rsidR="00876118" w:rsidRDefault="00876118" w:rsidP="00876118">
          <w:pPr>
            <w:spacing w:line="240" w:lineRule="atLeast"/>
          </w:pPr>
        </w:p>
      </w:tc>
    </w:tr>
    <w:tr w:rsidR="00876118" w14:paraId="19277526" w14:textId="77777777" w:rsidTr="003168F4">
      <w:tc>
        <w:tcPr>
          <w:tcW w:w="1271" w:type="dxa"/>
          <w:noWrap/>
          <w:vAlign w:val="center"/>
        </w:tcPr>
        <w:p w14:paraId="23F7609E" w14:textId="77777777" w:rsidR="00876118" w:rsidRDefault="00876118" w:rsidP="00876118">
          <w:pPr>
            <w:spacing w:line="240" w:lineRule="atLeast"/>
            <w:jc w:val="right"/>
            <w:rPr>
              <w:sz w:val="14"/>
              <w:szCs w:val="14"/>
            </w:rPr>
          </w:pPr>
          <w:r>
            <w:rPr>
              <w:sz w:val="14"/>
              <w:szCs w:val="14"/>
            </w:rPr>
            <w:t>Bijlage(n)</w:t>
          </w:r>
        </w:p>
      </w:tc>
      <w:tc>
        <w:tcPr>
          <w:tcW w:w="6438" w:type="dxa"/>
          <w:tcMar>
            <w:left w:w="57" w:type="dxa"/>
          </w:tcMar>
        </w:tcPr>
        <w:p w14:paraId="64424CF0" w14:textId="1B5B5A29" w:rsidR="00876118" w:rsidRPr="00062480" w:rsidRDefault="00876118" w:rsidP="00876118">
          <w:pPr>
            <w:spacing w:line="240" w:lineRule="atLeast"/>
          </w:pPr>
        </w:p>
      </w:tc>
      <w:tc>
        <w:tcPr>
          <w:tcW w:w="2885" w:type="dxa"/>
        </w:tcPr>
        <w:p w14:paraId="5E8E6E39" w14:textId="77777777" w:rsidR="00876118" w:rsidRDefault="00876118" w:rsidP="00876118">
          <w:pPr>
            <w:spacing w:line="240" w:lineRule="atLeast"/>
          </w:pPr>
        </w:p>
      </w:tc>
    </w:tr>
    <w:tr w:rsidR="00876118" w14:paraId="676E36FC" w14:textId="77777777" w:rsidTr="003168F4">
      <w:tc>
        <w:tcPr>
          <w:tcW w:w="1271" w:type="dxa"/>
          <w:noWrap/>
          <w:vAlign w:val="center"/>
        </w:tcPr>
        <w:p w14:paraId="19C5F0A0" w14:textId="77777777" w:rsidR="00876118" w:rsidRDefault="00876118" w:rsidP="00876118">
          <w:pPr>
            <w:spacing w:line="240" w:lineRule="atLeast"/>
            <w:jc w:val="right"/>
            <w:rPr>
              <w:sz w:val="14"/>
              <w:szCs w:val="14"/>
            </w:rPr>
          </w:pPr>
          <w:r>
            <w:rPr>
              <w:sz w:val="14"/>
              <w:szCs w:val="14"/>
            </w:rPr>
            <w:t>Onderwerp</w:t>
          </w:r>
        </w:p>
      </w:tc>
      <w:tc>
        <w:tcPr>
          <w:tcW w:w="6438" w:type="dxa"/>
          <w:tcMar>
            <w:left w:w="57" w:type="dxa"/>
          </w:tcMar>
        </w:tcPr>
        <w:p w14:paraId="58ECDE10" w14:textId="77777777" w:rsidR="00C70751" w:rsidRPr="00C70751" w:rsidRDefault="00C70751" w:rsidP="00C70751">
          <w:r>
            <w:t xml:space="preserve">Advies </w:t>
          </w:r>
          <w:r w:rsidRPr="00C70751">
            <w:t>toezicht op de maatschappelijke ondersteuning (WMO 215) en de Jeugdwet</w:t>
          </w:r>
        </w:p>
        <w:p w14:paraId="2E930328" w14:textId="77777777" w:rsidR="00C70751" w:rsidRDefault="00C70751" w:rsidP="00C70751"/>
        <w:p w14:paraId="59ACD7FB" w14:textId="26923456" w:rsidR="00876118" w:rsidRPr="00062480" w:rsidRDefault="00876118" w:rsidP="00062480">
          <w:pPr>
            <w:pStyle w:val="Default"/>
            <w:rPr>
              <w:sz w:val="20"/>
              <w:szCs w:val="20"/>
            </w:rPr>
          </w:pPr>
        </w:p>
      </w:tc>
      <w:tc>
        <w:tcPr>
          <w:tcW w:w="2885" w:type="dxa"/>
        </w:tcPr>
        <w:p w14:paraId="56E69851" w14:textId="77777777" w:rsidR="00876118" w:rsidRDefault="00876118" w:rsidP="00876118">
          <w:pPr>
            <w:spacing w:line="240" w:lineRule="atLeast"/>
          </w:pPr>
        </w:p>
      </w:tc>
    </w:tr>
  </w:tbl>
  <w:p w14:paraId="27CAB015" w14:textId="77777777" w:rsidR="00996531" w:rsidRDefault="00996531" w:rsidP="009063BC"/>
  <w:p w14:paraId="00DCCBC8" w14:textId="77777777" w:rsidR="00996531" w:rsidRDefault="00996531" w:rsidP="009063BC"/>
  <w:p w14:paraId="57D89A97" w14:textId="25D1E8CD" w:rsidR="009063BC" w:rsidRDefault="004E335F" w:rsidP="009063BC">
    <w:r>
      <w:rPr>
        <w:noProof/>
      </w:rPr>
      <w:drawing>
        <wp:anchor distT="0" distB="0" distL="114300" distR="114300" simplePos="0" relativeHeight="251658240" behindDoc="1" locked="0" layoutInCell="1" allowOverlap="1" wp14:anchorId="383A15D0" wp14:editId="2763AEDF">
          <wp:simplePos x="0" y="0"/>
          <wp:positionH relativeFrom="column">
            <wp:posOffset>-740410</wp:posOffset>
          </wp:positionH>
          <wp:positionV relativeFrom="paragraph">
            <wp:posOffset>-1287780</wp:posOffset>
          </wp:positionV>
          <wp:extent cx="1789430" cy="1178560"/>
          <wp:effectExtent l="0" t="0" r="127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F80B4" w14:textId="77777777" w:rsidR="002B5FD1" w:rsidRDefault="006B2708" w:rsidP="009063BC"/>
  <w:p w14:paraId="06E937CF" w14:textId="0BCF3C77" w:rsidR="009063BC" w:rsidRDefault="00876118" w:rsidP="009063BC">
    <w:r>
      <w:t>Geach</w:t>
    </w:r>
    <w:r w:rsidR="004E335F">
      <w:t>t College</w:t>
    </w:r>
    <w:r>
      <w:t>,</w:t>
    </w:r>
  </w:p>
  <w:p w14:paraId="284F52C3" w14:textId="77777777" w:rsidR="00996531" w:rsidRDefault="00996531" w:rsidP="009063BC"/>
  <w:p w14:paraId="3C0EBF70" w14:textId="77777777" w:rsidR="00A06D61" w:rsidRDefault="006B2708" w:rsidP="002B5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DB2"/>
    <w:multiLevelType w:val="hybridMultilevel"/>
    <w:tmpl w:val="98A8F2AA"/>
    <w:lvl w:ilvl="0" w:tplc="A8703B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AF2448"/>
    <w:multiLevelType w:val="multilevel"/>
    <w:tmpl w:val="3B00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53E45"/>
    <w:multiLevelType w:val="hybridMultilevel"/>
    <w:tmpl w:val="C6F68136"/>
    <w:lvl w:ilvl="0" w:tplc="3D1CD1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B2233A"/>
    <w:multiLevelType w:val="hybridMultilevel"/>
    <w:tmpl w:val="532AC5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8C3F09"/>
    <w:multiLevelType w:val="hybridMultilevel"/>
    <w:tmpl w:val="BB3C703E"/>
    <w:lvl w:ilvl="0" w:tplc="2E90C02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515DD2"/>
    <w:multiLevelType w:val="multilevel"/>
    <w:tmpl w:val="2B68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41722"/>
    <w:multiLevelType w:val="multilevel"/>
    <w:tmpl w:val="4774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51803"/>
    <w:multiLevelType w:val="multilevel"/>
    <w:tmpl w:val="A880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7528E"/>
    <w:multiLevelType w:val="multilevel"/>
    <w:tmpl w:val="C272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70119"/>
    <w:multiLevelType w:val="multilevel"/>
    <w:tmpl w:val="B2841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17C31"/>
    <w:multiLevelType w:val="multilevel"/>
    <w:tmpl w:val="726AD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867F7"/>
    <w:multiLevelType w:val="multilevel"/>
    <w:tmpl w:val="800E3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94AA2"/>
    <w:multiLevelType w:val="multilevel"/>
    <w:tmpl w:val="C8947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D7EB4"/>
    <w:multiLevelType w:val="multilevel"/>
    <w:tmpl w:val="24E4B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8440F"/>
    <w:multiLevelType w:val="hybridMultilevel"/>
    <w:tmpl w:val="00B47A90"/>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867A49"/>
    <w:multiLevelType w:val="hybridMultilevel"/>
    <w:tmpl w:val="B562E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5566FF"/>
    <w:multiLevelType w:val="hybridMultilevel"/>
    <w:tmpl w:val="0310F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F04800"/>
    <w:multiLevelType w:val="multilevel"/>
    <w:tmpl w:val="BAD0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6C1A02"/>
    <w:multiLevelType w:val="hybridMultilevel"/>
    <w:tmpl w:val="89D4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64745B"/>
    <w:multiLevelType w:val="multilevel"/>
    <w:tmpl w:val="21947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C1D3B"/>
    <w:multiLevelType w:val="hybridMultilevel"/>
    <w:tmpl w:val="04EE76C4"/>
    <w:lvl w:ilvl="0" w:tplc="D5EAF3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5A52A9"/>
    <w:multiLevelType w:val="multilevel"/>
    <w:tmpl w:val="B32C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23885"/>
    <w:multiLevelType w:val="multilevel"/>
    <w:tmpl w:val="21A8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604BE2"/>
    <w:multiLevelType w:val="hybridMultilevel"/>
    <w:tmpl w:val="1BDE8E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C9203D"/>
    <w:multiLevelType w:val="multilevel"/>
    <w:tmpl w:val="E228D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621A5"/>
    <w:multiLevelType w:val="hybridMultilevel"/>
    <w:tmpl w:val="7A744910"/>
    <w:lvl w:ilvl="0" w:tplc="E076A3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7941E2"/>
    <w:multiLevelType w:val="hybridMultilevel"/>
    <w:tmpl w:val="260E3A36"/>
    <w:lvl w:ilvl="0" w:tplc="4E64DF7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A673F71"/>
    <w:multiLevelType w:val="multilevel"/>
    <w:tmpl w:val="2242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47929"/>
    <w:multiLevelType w:val="multilevel"/>
    <w:tmpl w:val="D03C3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43527383">
    <w:abstractNumId w:val="23"/>
  </w:num>
  <w:num w:numId="2" w16cid:durableId="1823038363">
    <w:abstractNumId w:val="16"/>
  </w:num>
  <w:num w:numId="3" w16cid:durableId="427894544">
    <w:abstractNumId w:val="18"/>
  </w:num>
  <w:num w:numId="4" w16cid:durableId="920211262">
    <w:abstractNumId w:val="25"/>
  </w:num>
  <w:num w:numId="5" w16cid:durableId="1569268144">
    <w:abstractNumId w:val="24"/>
  </w:num>
  <w:num w:numId="6" w16cid:durableId="948466040">
    <w:abstractNumId w:val="21"/>
  </w:num>
  <w:num w:numId="7" w16cid:durableId="2125225831">
    <w:abstractNumId w:val="5"/>
  </w:num>
  <w:num w:numId="8" w16cid:durableId="803813174">
    <w:abstractNumId w:val="27"/>
  </w:num>
  <w:num w:numId="9" w16cid:durableId="990404467">
    <w:abstractNumId w:val="8"/>
  </w:num>
  <w:num w:numId="10" w16cid:durableId="1007564047">
    <w:abstractNumId w:val="7"/>
  </w:num>
  <w:num w:numId="11" w16cid:durableId="347297699">
    <w:abstractNumId w:val="10"/>
  </w:num>
  <w:num w:numId="12" w16cid:durableId="823199139">
    <w:abstractNumId w:val="13"/>
  </w:num>
  <w:num w:numId="13" w16cid:durableId="1080444810">
    <w:abstractNumId w:val="22"/>
  </w:num>
  <w:num w:numId="14" w16cid:durableId="376467906">
    <w:abstractNumId w:val="12"/>
  </w:num>
  <w:num w:numId="15" w16cid:durableId="1955014078">
    <w:abstractNumId w:val="19"/>
  </w:num>
  <w:num w:numId="16" w16cid:durableId="1212812016">
    <w:abstractNumId w:val="28"/>
  </w:num>
  <w:num w:numId="17" w16cid:durableId="308168441">
    <w:abstractNumId w:val="9"/>
  </w:num>
  <w:num w:numId="18" w16cid:durableId="803736731">
    <w:abstractNumId w:val="1"/>
  </w:num>
  <w:num w:numId="19" w16cid:durableId="1394086461">
    <w:abstractNumId w:val="11"/>
  </w:num>
  <w:num w:numId="20" w16cid:durableId="1844591256">
    <w:abstractNumId w:val="15"/>
  </w:num>
  <w:num w:numId="21" w16cid:durableId="1325164239">
    <w:abstractNumId w:val="14"/>
  </w:num>
  <w:num w:numId="22" w16cid:durableId="1105426046">
    <w:abstractNumId w:val="2"/>
  </w:num>
  <w:num w:numId="23" w16cid:durableId="389810097">
    <w:abstractNumId w:val="3"/>
  </w:num>
  <w:num w:numId="24" w16cid:durableId="1617566388">
    <w:abstractNumId w:val="26"/>
  </w:num>
  <w:num w:numId="25" w16cid:durableId="1596404679">
    <w:abstractNumId w:val="4"/>
  </w:num>
  <w:num w:numId="26" w16cid:durableId="845511168">
    <w:abstractNumId w:val="17"/>
  </w:num>
  <w:num w:numId="27" w16cid:durableId="346952932">
    <w:abstractNumId w:val="6"/>
  </w:num>
  <w:num w:numId="28" w16cid:durableId="379793430">
    <w:abstractNumId w:val="20"/>
  </w:num>
  <w:num w:numId="29" w16cid:durableId="12085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C"/>
    <w:rsid w:val="00000AF5"/>
    <w:rsid w:val="00036E01"/>
    <w:rsid w:val="00062480"/>
    <w:rsid w:val="000C055E"/>
    <w:rsid w:val="000D5F23"/>
    <w:rsid w:val="001006E2"/>
    <w:rsid w:val="00155DB6"/>
    <w:rsid w:val="001A48B7"/>
    <w:rsid w:val="001B3178"/>
    <w:rsid w:val="002120D7"/>
    <w:rsid w:val="00244DDA"/>
    <w:rsid w:val="003260C0"/>
    <w:rsid w:val="00345EA0"/>
    <w:rsid w:val="00354EDB"/>
    <w:rsid w:val="003E662B"/>
    <w:rsid w:val="004B1DFF"/>
    <w:rsid w:val="004E335F"/>
    <w:rsid w:val="0050453D"/>
    <w:rsid w:val="0054290A"/>
    <w:rsid w:val="006041C3"/>
    <w:rsid w:val="00624CDB"/>
    <w:rsid w:val="00640D5A"/>
    <w:rsid w:val="00661777"/>
    <w:rsid w:val="006907DB"/>
    <w:rsid w:val="006B2708"/>
    <w:rsid w:val="00725378"/>
    <w:rsid w:val="007B020D"/>
    <w:rsid w:val="007D4489"/>
    <w:rsid w:val="00876118"/>
    <w:rsid w:val="00891A3C"/>
    <w:rsid w:val="008C4B67"/>
    <w:rsid w:val="008F33D9"/>
    <w:rsid w:val="0093474B"/>
    <w:rsid w:val="00947764"/>
    <w:rsid w:val="00992587"/>
    <w:rsid w:val="00996531"/>
    <w:rsid w:val="00A01BE6"/>
    <w:rsid w:val="00A31B07"/>
    <w:rsid w:val="00AB33D6"/>
    <w:rsid w:val="00AB7324"/>
    <w:rsid w:val="00AD0EA1"/>
    <w:rsid w:val="00BE5C39"/>
    <w:rsid w:val="00C05F7F"/>
    <w:rsid w:val="00C13242"/>
    <w:rsid w:val="00C70751"/>
    <w:rsid w:val="00CB5E40"/>
    <w:rsid w:val="00CD631F"/>
    <w:rsid w:val="00D4152C"/>
    <w:rsid w:val="00D53838"/>
    <w:rsid w:val="00E011A8"/>
    <w:rsid w:val="00E045E2"/>
    <w:rsid w:val="00E15013"/>
    <w:rsid w:val="00E425F3"/>
    <w:rsid w:val="00E70B9F"/>
    <w:rsid w:val="00FC6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D9FC64"/>
  <w15:docId w15:val="{B1C1EA93-662D-4D22-86FA-D3539D81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0E5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6D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6D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6D61"/>
  </w:style>
  <w:style w:type="paragraph" w:styleId="Voettekst">
    <w:name w:val="footer"/>
    <w:basedOn w:val="Standaard"/>
    <w:link w:val="VoettekstChar"/>
    <w:uiPriority w:val="99"/>
    <w:unhideWhenUsed/>
    <w:rsid w:val="00A06D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6D61"/>
  </w:style>
  <w:style w:type="paragraph" w:styleId="Geenafstand">
    <w:name w:val="No Spacing"/>
    <w:uiPriority w:val="1"/>
    <w:qFormat/>
    <w:rsid w:val="004E335F"/>
    <w:pPr>
      <w:spacing w:line="240" w:lineRule="auto"/>
    </w:pPr>
    <w:rPr>
      <w:rFonts w:asciiTheme="minorHAnsi" w:hAnsiTheme="minorHAnsi" w:cstheme="minorBidi"/>
      <w:sz w:val="22"/>
      <w:szCs w:val="22"/>
    </w:rPr>
  </w:style>
  <w:style w:type="paragraph" w:styleId="Lijstalinea">
    <w:name w:val="List Paragraph"/>
    <w:basedOn w:val="Standaard"/>
    <w:uiPriority w:val="34"/>
    <w:qFormat/>
    <w:rsid w:val="004E335F"/>
    <w:pPr>
      <w:spacing w:after="160" w:line="259" w:lineRule="auto"/>
      <w:ind w:left="720"/>
      <w:contextualSpacing/>
    </w:pPr>
    <w:rPr>
      <w:rFonts w:asciiTheme="minorHAnsi" w:hAnsiTheme="minorHAnsi" w:cstheme="minorBidi"/>
      <w:sz w:val="22"/>
      <w:szCs w:val="22"/>
    </w:rPr>
  </w:style>
  <w:style w:type="character" w:styleId="Hyperlink">
    <w:name w:val="Hyperlink"/>
    <w:basedOn w:val="Standaardalinea-lettertype"/>
    <w:uiPriority w:val="99"/>
    <w:unhideWhenUsed/>
    <w:rsid w:val="00876118"/>
    <w:rPr>
      <w:color w:val="0563C1" w:themeColor="hyperlink"/>
      <w:u w:val="single"/>
    </w:rPr>
  </w:style>
  <w:style w:type="character" w:styleId="Onopgelostemelding">
    <w:name w:val="Unresolved Mention"/>
    <w:basedOn w:val="Standaardalinea-lettertype"/>
    <w:uiPriority w:val="99"/>
    <w:rsid w:val="00876118"/>
    <w:rPr>
      <w:color w:val="605E5C"/>
      <w:shd w:val="clear" w:color="auto" w:fill="E1DFDD"/>
    </w:rPr>
  </w:style>
  <w:style w:type="paragraph" w:styleId="Ballontekst">
    <w:name w:val="Balloon Text"/>
    <w:basedOn w:val="Standaard"/>
    <w:link w:val="BallontekstChar"/>
    <w:uiPriority w:val="99"/>
    <w:semiHidden/>
    <w:unhideWhenUsed/>
    <w:rsid w:val="00345E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EA0"/>
    <w:rPr>
      <w:rFonts w:ascii="Segoe UI" w:hAnsi="Segoe UI" w:cs="Segoe UI"/>
      <w:sz w:val="18"/>
      <w:szCs w:val="18"/>
    </w:rPr>
  </w:style>
  <w:style w:type="character" w:styleId="Zwaar">
    <w:name w:val="Strong"/>
    <w:basedOn w:val="Standaardalinea-lettertype"/>
    <w:uiPriority w:val="22"/>
    <w:qFormat/>
    <w:rsid w:val="00E425F3"/>
    <w:rPr>
      <w:b/>
      <w:bCs/>
    </w:rPr>
  </w:style>
  <w:style w:type="paragraph" w:customStyle="1" w:styleId="Standard">
    <w:name w:val="Standard"/>
    <w:rsid w:val="00155DB6"/>
    <w:pPr>
      <w:widowControl w:val="0"/>
      <w:suppressAutoHyphens/>
      <w:autoSpaceDN w:val="0"/>
      <w:spacing w:line="240" w:lineRule="auto"/>
      <w:textAlignment w:val="baseline"/>
    </w:pPr>
    <w:rPr>
      <w:rFonts w:ascii="Times New Roman" w:eastAsia="SimSun" w:hAnsi="Times New Roman" w:cs="Lucida Sans"/>
      <w:kern w:val="3"/>
      <w:sz w:val="24"/>
      <w:szCs w:val="24"/>
      <w:lang w:eastAsia="zh-CN" w:bidi="hi-IN"/>
    </w:rPr>
  </w:style>
  <w:style w:type="character" w:styleId="Nadruk">
    <w:name w:val="Emphasis"/>
    <w:basedOn w:val="Standaardalinea-lettertype"/>
    <w:rsid w:val="00244DDA"/>
    <w:rPr>
      <w:i/>
      <w:iCs/>
    </w:rPr>
  </w:style>
  <w:style w:type="paragraph" w:customStyle="1" w:styleId="Default">
    <w:name w:val="Default"/>
    <w:rsid w:val="00062480"/>
    <w:pPr>
      <w:autoSpaceDE w:val="0"/>
      <w:autoSpaceDN w:val="0"/>
      <w:adjustRightInd w:val="0"/>
      <w:spacing w:line="240" w:lineRule="auto"/>
    </w:pPr>
    <w:rPr>
      <w:rFonts w:cs="Calibri"/>
      <w:color w:val="000000"/>
      <w:sz w:val="24"/>
      <w:szCs w:val="24"/>
    </w:rPr>
  </w:style>
  <w:style w:type="paragraph" w:styleId="Normaalweb">
    <w:name w:val="Normal (Web)"/>
    <w:basedOn w:val="Standaard"/>
    <w:uiPriority w:val="99"/>
    <w:unhideWhenUsed/>
    <w:rsid w:val="00354EDB"/>
    <w:pPr>
      <w:spacing w:before="100" w:beforeAutospacing="1" w:after="100" w:afterAutospacing="1" w:line="240" w:lineRule="auto"/>
    </w:pPr>
    <w:rPr>
      <w:rFonts w:cs="Calibri"/>
      <w:sz w:val="22"/>
      <w:szCs w:val="22"/>
      <w:lang w:eastAsia="nl-NL"/>
    </w:rPr>
  </w:style>
  <w:style w:type="paragraph" w:styleId="Tekstzonderopmaak">
    <w:name w:val="Plain Text"/>
    <w:basedOn w:val="Standaard"/>
    <w:link w:val="TekstzonderopmaakChar"/>
    <w:uiPriority w:val="99"/>
    <w:semiHidden/>
    <w:unhideWhenUsed/>
    <w:rsid w:val="001006E2"/>
    <w:pPr>
      <w:spacing w:line="240" w:lineRule="auto"/>
    </w:pPr>
    <w:rPr>
      <w:rFonts w:cs="Consolas"/>
      <w:sz w:val="22"/>
      <w:szCs w:val="21"/>
    </w:rPr>
  </w:style>
  <w:style w:type="character" w:customStyle="1" w:styleId="TekstzonderopmaakChar">
    <w:name w:val="Tekst zonder opmaak Char"/>
    <w:basedOn w:val="Standaardalinea-lettertype"/>
    <w:link w:val="Tekstzonderopmaak"/>
    <w:uiPriority w:val="99"/>
    <w:semiHidden/>
    <w:rsid w:val="001006E2"/>
    <w:rPr>
      <w:rFonts w:cs="Consolas"/>
      <w:sz w:val="22"/>
      <w:szCs w:val="21"/>
    </w:rPr>
  </w:style>
  <w:style w:type="paragraph" w:customStyle="1" w:styleId="xparagraph">
    <w:name w:val="x_paragraph"/>
    <w:basedOn w:val="Standaard"/>
    <w:rsid w:val="001B3178"/>
    <w:pPr>
      <w:spacing w:line="240" w:lineRule="auto"/>
    </w:pPr>
    <w:rPr>
      <w:rFonts w:cs="Calibri"/>
      <w:sz w:val="22"/>
      <w:szCs w:val="22"/>
      <w:lang w:eastAsia="nl-NL"/>
    </w:rPr>
  </w:style>
  <w:style w:type="character" w:customStyle="1" w:styleId="xnormaltextrun">
    <w:name w:val="x_normaltextrun"/>
    <w:basedOn w:val="Standaardalinea-lettertype"/>
    <w:rsid w:val="001B3178"/>
  </w:style>
  <w:style w:type="character" w:customStyle="1" w:styleId="xeop">
    <w:name w:val="x_eop"/>
    <w:basedOn w:val="Standaardalinea-lettertype"/>
    <w:rsid w:val="001B3178"/>
  </w:style>
  <w:style w:type="character" w:customStyle="1" w:styleId="xspellingerror">
    <w:name w:val="x_spellingerror"/>
    <w:basedOn w:val="Standaardalinea-lettertype"/>
    <w:rsid w:val="001B3178"/>
  </w:style>
  <w:style w:type="character" w:customStyle="1" w:styleId="xcontextualspellingandgrammarerror">
    <w:name w:val="x_contextualspellingandgrammarerror"/>
    <w:basedOn w:val="Standaardalinea-lettertype"/>
    <w:rsid w:val="001B3178"/>
  </w:style>
  <w:style w:type="paragraph" w:customStyle="1" w:styleId="labeled">
    <w:name w:val="labeled"/>
    <w:basedOn w:val="Standaard"/>
    <w:rsid w:val="00C7075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ol">
    <w:name w:val="ol"/>
    <w:basedOn w:val="Standaardalinea-lettertype"/>
    <w:rsid w:val="00C70751"/>
  </w:style>
  <w:style w:type="paragraph" w:styleId="Voetnoottekst">
    <w:name w:val="footnote text"/>
    <w:basedOn w:val="Standaard"/>
    <w:link w:val="VoetnoottekstChar"/>
    <w:uiPriority w:val="99"/>
    <w:semiHidden/>
    <w:unhideWhenUsed/>
    <w:rsid w:val="00C70751"/>
    <w:pPr>
      <w:spacing w:line="240" w:lineRule="auto"/>
    </w:pPr>
    <w:rPr>
      <w:rFonts w:asciiTheme="minorHAnsi" w:hAnsiTheme="minorHAnsi" w:cstheme="minorBidi"/>
    </w:rPr>
  </w:style>
  <w:style w:type="character" w:customStyle="1" w:styleId="VoetnoottekstChar">
    <w:name w:val="Voetnoottekst Char"/>
    <w:basedOn w:val="Standaardalinea-lettertype"/>
    <w:link w:val="Voetnoottekst"/>
    <w:uiPriority w:val="99"/>
    <w:semiHidden/>
    <w:rsid w:val="00C70751"/>
    <w:rPr>
      <w:rFonts w:asciiTheme="minorHAnsi" w:hAnsiTheme="minorHAnsi" w:cstheme="minorBidi"/>
    </w:rPr>
  </w:style>
  <w:style w:type="character" w:styleId="Voetnootmarkering">
    <w:name w:val="footnote reference"/>
    <w:basedOn w:val="Standaardalinea-lettertype"/>
    <w:uiPriority w:val="99"/>
    <w:semiHidden/>
    <w:unhideWhenUsed/>
    <w:rsid w:val="00C70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9010">
      <w:bodyDiv w:val="1"/>
      <w:marLeft w:val="0"/>
      <w:marRight w:val="0"/>
      <w:marTop w:val="0"/>
      <w:marBottom w:val="0"/>
      <w:divBdr>
        <w:top w:val="none" w:sz="0" w:space="0" w:color="auto"/>
        <w:left w:val="none" w:sz="0" w:space="0" w:color="auto"/>
        <w:bottom w:val="none" w:sz="0" w:space="0" w:color="auto"/>
        <w:right w:val="none" w:sz="0" w:space="0" w:color="auto"/>
      </w:divBdr>
    </w:div>
    <w:div w:id="292634568">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
    <w:div w:id="20955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kaleregelgeving.overheid.nl/CVDR6209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ezichtsociaaldomei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6646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 Ineke van</dc:creator>
  <cp:lastModifiedBy>Dijk, Ineke van</cp:lastModifiedBy>
  <cp:revision>2</cp:revision>
  <cp:lastPrinted>2019-05-09T09:51:00Z</cp:lastPrinted>
  <dcterms:created xsi:type="dcterms:W3CDTF">2022-10-04T12:01:00Z</dcterms:created>
  <dcterms:modified xsi:type="dcterms:W3CDTF">2022-10-04T12:01:00Z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Brief</vt:lpwstr>
  </property>
</Properties>
</file>